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rsidR="00666700" w:rsidRDefault="00012581" w:rsidP="00E2213D">
      <w:pPr>
        <w:spacing w:after="0" w:line="240" w:lineRule="auto"/>
        <w:jc w:val="center"/>
      </w:pPr>
      <w:r>
        <w:rPr>
          <w:rFonts w:ascii="Times New Roman" w:hAnsi="Times New Roman" w:cs="Times New Roman"/>
          <w:b/>
          <w:sz w:val="28"/>
          <w:szCs w:val="28"/>
        </w:rPr>
        <w:t>IU</w:t>
      </w:r>
      <w:r w:rsidR="00E2213D">
        <w:rPr>
          <w:rFonts w:ascii="Times New Roman" w:hAnsi="Times New Roman" w:cs="Times New Roman"/>
          <w:b/>
          <w:sz w:val="28"/>
          <w:szCs w:val="28"/>
        </w:rPr>
        <w:t>L</w:t>
      </w:r>
      <w:r w:rsidR="00E36837">
        <w:rPr>
          <w:rFonts w:ascii="Times New Roman" w:hAnsi="Times New Roman" w:cs="Times New Roman"/>
          <w:b/>
          <w:sz w:val="28"/>
          <w:szCs w:val="28"/>
        </w:rPr>
        <w:t>I</w:t>
      </w:r>
      <w:r>
        <w:rPr>
          <w:rFonts w:ascii="Times New Roman" w:hAnsi="Times New Roman" w:cs="Times New Roman"/>
          <w:b/>
          <w:sz w:val="28"/>
          <w:szCs w:val="28"/>
        </w:rPr>
        <w:t>E</w:t>
      </w:r>
      <w:r w:rsidR="0073325D">
        <w:rPr>
          <w:rFonts w:ascii="Times New Roman" w:hAnsi="Times New Roman" w:cs="Times New Roman"/>
          <w:b/>
          <w:sz w:val="28"/>
          <w:szCs w:val="28"/>
        </w:rPr>
        <w:t xml:space="preserve">  </w:t>
      </w:r>
      <w:r w:rsidR="00666700">
        <w:rPr>
          <w:rFonts w:ascii="Times New Roman" w:hAnsi="Times New Roman" w:cs="Times New Roman"/>
          <w:b/>
          <w:sz w:val="28"/>
          <w:szCs w:val="28"/>
        </w:rPr>
        <w:t>202</w:t>
      </w:r>
      <w:r w:rsidR="00175820">
        <w:rPr>
          <w:rFonts w:ascii="Times New Roman" w:hAnsi="Times New Roman" w:cs="Times New Roman"/>
          <w:b/>
          <w:sz w:val="28"/>
          <w:szCs w:val="28"/>
        </w:rPr>
        <w:t>4</w:t>
      </w:r>
    </w:p>
    <w:p w:rsidR="00666700" w:rsidRDefault="00666700">
      <w:pPr>
        <w:spacing w:after="0" w:line="240" w:lineRule="auto"/>
      </w:pPr>
    </w:p>
    <w:tbl>
      <w:tblPr>
        <w:tblW w:w="15573" w:type="dxa"/>
        <w:tblInd w:w="-930" w:type="dxa"/>
        <w:tblLayout w:type="fixed"/>
        <w:tblLook w:val="0000"/>
      </w:tblPr>
      <w:tblGrid>
        <w:gridCol w:w="1558"/>
        <w:gridCol w:w="1953"/>
        <w:gridCol w:w="2159"/>
        <w:gridCol w:w="4050"/>
        <w:gridCol w:w="1620"/>
        <w:gridCol w:w="1530"/>
        <w:gridCol w:w="1080"/>
        <w:gridCol w:w="1623"/>
      </w:tblGrid>
      <w:tr w:rsidR="00666700" w:rsidTr="00203D96">
        <w:trPr>
          <w:trHeight w:val="645"/>
        </w:trPr>
        <w:tc>
          <w:tcPr>
            <w:tcW w:w="1558"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66700" w:rsidRDefault="00666700">
            <w:r>
              <w:t>https://www.fonduri</w:t>
            </w:r>
          </w:p>
        </w:tc>
      </w:tr>
      <w:tr w:rsidR="00C81D4D" w:rsidTr="00EF43A8">
        <w:trPr>
          <w:cantSplit/>
          <w:trHeight w:val="6907"/>
        </w:trPr>
        <w:tc>
          <w:tcPr>
            <w:tcW w:w="1558" w:type="dxa"/>
            <w:tcBorders>
              <w:top w:val="single" w:sz="4" w:space="0" w:color="000000"/>
              <w:left w:val="single" w:sz="4" w:space="0" w:color="000000"/>
              <w:bottom w:val="single" w:sz="4" w:space="0" w:color="000000"/>
            </w:tcBorders>
            <w:shd w:val="clear" w:color="auto" w:fill="auto"/>
          </w:tcPr>
          <w:p w:rsidR="00C81D4D" w:rsidRPr="005E1DE4" w:rsidRDefault="00C81D4D" w:rsidP="00B562E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Uniunea</w:t>
            </w:r>
          </w:p>
          <w:p w:rsidR="00C81D4D" w:rsidRPr="005E1DE4" w:rsidRDefault="00C81D4D" w:rsidP="00B562E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Europeană</w:t>
            </w:r>
          </w:p>
          <w:p w:rsidR="00C81D4D" w:rsidRDefault="00C81D4D" w:rsidP="00B562E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Programul Interreg NEXT România-Ucraina</w:t>
            </w:r>
          </w:p>
          <w:p w:rsidR="00C81D4D" w:rsidRDefault="00C81D4D" w:rsidP="00B562E5">
            <w:pPr>
              <w:autoSpaceDE w:val="0"/>
              <w:spacing w:after="0" w:line="240" w:lineRule="auto"/>
              <w:rPr>
                <w:rFonts w:ascii="Times New Roman" w:hAnsi="Times New Roman" w:cs="Times New Roman"/>
                <w:b/>
                <w:sz w:val="18"/>
                <w:szCs w:val="18"/>
              </w:rPr>
            </w:pPr>
          </w:p>
          <w:p w:rsidR="00C81D4D" w:rsidRPr="001751C1" w:rsidRDefault="00C81D4D" w:rsidP="00C81D4D">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Al doilea</w:t>
            </w:r>
            <w:r w:rsidRPr="005E1DE4">
              <w:rPr>
                <w:rFonts w:ascii="Times New Roman" w:hAnsi="Times New Roman" w:cs="Times New Roman"/>
                <w:b/>
                <w:sz w:val="18"/>
                <w:szCs w:val="18"/>
              </w:rPr>
              <w:t xml:space="preserve"> apel pentru proiecte standard</w:t>
            </w:r>
          </w:p>
        </w:tc>
        <w:tc>
          <w:tcPr>
            <w:tcW w:w="1953" w:type="dxa"/>
            <w:tcBorders>
              <w:top w:val="single" w:sz="4" w:space="0" w:color="000000"/>
              <w:left w:val="single" w:sz="4" w:space="0" w:color="000000"/>
              <w:bottom w:val="single" w:sz="4" w:space="0" w:color="000000"/>
            </w:tcBorders>
            <w:shd w:val="clear" w:color="auto" w:fill="auto"/>
          </w:tcPr>
          <w:p w:rsidR="00C81D4D" w:rsidRPr="008E533D" w:rsidRDefault="00C81D4D" w:rsidP="00C81D4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 xml:space="preserve">Prioritatea </w:t>
            </w:r>
            <w:r w:rsidRPr="00C81D4D">
              <w:rPr>
                <w:rFonts w:ascii="Times New Roman" w:eastAsia="Times New Roman" w:hAnsi="Times New Roman" w:cs="Times New Roman"/>
                <w:sz w:val="14"/>
                <w:szCs w:val="14"/>
                <w:lang w:val="en-US"/>
              </w:rPr>
              <w:t xml:space="preserve"> 1 – Focus transfrontalier asupra mediului, </w:t>
            </w:r>
          </w:p>
          <w:p w:rsidR="00C81D4D" w:rsidRPr="008E533D" w:rsidRDefault="00C81D4D" w:rsidP="00B562E5">
            <w:pPr>
              <w:autoSpaceDE w:val="0"/>
              <w:spacing w:after="0" w:line="240" w:lineRule="auto"/>
              <w:rPr>
                <w:rFonts w:ascii="Times New Roman" w:eastAsia="Times New Roman" w:hAnsi="Times New Roman" w:cs="Times New Roman"/>
                <w:sz w:val="14"/>
                <w:szCs w:val="14"/>
                <w:lang w:val="en-US"/>
              </w:rPr>
            </w:pPr>
          </w:p>
          <w:p w:rsidR="00C81D4D" w:rsidRPr="00ED7065" w:rsidRDefault="00C81D4D" w:rsidP="00B562E5">
            <w:pPr>
              <w:autoSpaceDE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O</w:t>
            </w:r>
            <w:r w:rsidRPr="00C81D4D">
              <w:rPr>
                <w:rFonts w:ascii="Times New Roman" w:eastAsia="Times New Roman" w:hAnsi="Times New Roman" w:cs="Times New Roman"/>
                <w:sz w:val="14"/>
                <w:szCs w:val="14"/>
                <w:lang w:val="en-US"/>
              </w:rPr>
              <w:t>biectivul specific Promovarea adaptării la schimbările climatice, a prevenirii riscurilor de dezastre și a rezilienței, ținând seama de abordările ecosistemice</w:t>
            </w:r>
          </w:p>
        </w:tc>
        <w:tc>
          <w:tcPr>
            <w:tcW w:w="2159" w:type="dxa"/>
            <w:tcBorders>
              <w:top w:val="single" w:sz="4" w:space="0" w:color="000000"/>
              <w:left w:val="single" w:sz="4" w:space="0" w:color="000000"/>
              <w:bottom w:val="single" w:sz="4" w:space="0" w:color="000000"/>
            </w:tcBorders>
            <w:shd w:val="clear" w:color="auto" w:fill="auto"/>
          </w:tcPr>
          <w:p w:rsidR="00C81D4D" w:rsidRPr="00C81D4D" w:rsidRDefault="00C81D4D" w:rsidP="00EF43A8">
            <w:pPr>
              <w:autoSpaceDE w:val="0"/>
              <w:spacing w:after="0" w:line="240" w:lineRule="auto"/>
              <w:rPr>
                <w:rFonts w:ascii="Times New Roman" w:hAnsi="Times New Roman" w:cs="Times New Roman"/>
                <w:sz w:val="18"/>
                <w:szCs w:val="18"/>
                <w:lang w:val="en-US"/>
              </w:rPr>
            </w:pPr>
            <w:r w:rsidRPr="00C81D4D">
              <w:rPr>
                <w:rFonts w:ascii="Times New Roman" w:hAnsi="Times New Roman" w:cs="Times New Roman"/>
                <w:sz w:val="18"/>
                <w:szCs w:val="18"/>
                <w:lang w:val="en-US"/>
              </w:rPr>
              <w:t>Autoritatea publică locală,Autoritatea publică regională,Autoritatea publică natională,Agentie sectorială,Grupuri de interese, inclusiv ONG-uri, Organizații de învățământ superior și cercetare,Centru de educație/formare și școală, Organizație de sprijinire a afacerilor,GECT, Spitale și centre medicale</w:t>
            </w:r>
          </w:p>
          <w:p w:rsidR="00C81D4D" w:rsidRPr="00EF43A8" w:rsidRDefault="00C81D4D" w:rsidP="00EF43A8">
            <w:pPr>
              <w:autoSpaceDE w:val="0"/>
              <w:spacing w:after="0" w:line="240" w:lineRule="auto"/>
              <w:rPr>
                <w:rFonts w:ascii="Times New Roman" w:hAnsi="Times New Roman" w:cs="Times New Roman"/>
                <w:sz w:val="18"/>
                <w:szCs w:val="18"/>
                <w:lang w:val="en-US"/>
              </w:rPr>
            </w:pPr>
            <w:r w:rsidRPr="00C81D4D">
              <w:rPr>
                <w:rFonts w:ascii="Times New Roman" w:hAnsi="Times New Roman" w:cs="Times New Roman"/>
                <w:sz w:val="18"/>
                <w:szCs w:val="18"/>
                <w:lang w:val="en-US"/>
              </w:rPr>
              <w:t>Pentru a putea primi finanțare, un proiect trebuie să aibă cel puțin un partener din fiecare stat participant.</w:t>
            </w:r>
          </w:p>
          <w:p w:rsidR="00C81D4D" w:rsidRPr="00EF43A8" w:rsidRDefault="00C81D4D" w:rsidP="00EF43A8">
            <w:pPr>
              <w:autoSpaceDE w:val="0"/>
              <w:spacing w:after="0" w:line="240" w:lineRule="auto"/>
              <w:rPr>
                <w:rFonts w:ascii="Times New Roman" w:hAnsi="Times New Roman" w:cs="Times New Roman"/>
                <w:sz w:val="18"/>
                <w:szCs w:val="18"/>
                <w:lang w:val="en-US"/>
              </w:rPr>
            </w:pPr>
            <w:r w:rsidRPr="00C81D4D">
              <w:rPr>
                <w:rFonts w:ascii="Times New Roman" w:hAnsi="Times New Roman" w:cs="Times New Roman"/>
                <w:sz w:val="18"/>
                <w:szCs w:val="18"/>
                <w:lang w:val="en-US"/>
              </w:rPr>
              <w:t>Aria Programului cuprinde  județele Satu Mare, Maramureș, Botoșani, Suceava și Tulcea (România) și din oblasturile Ivano-Frankivsk, Zakarpatska, Cernăuți, Odesa (Ucraina)</w:t>
            </w:r>
          </w:p>
        </w:tc>
        <w:tc>
          <w:tcPr>
            <w:tcW w:w="4050" w:type="dxa"/>
            <w:tcBorders>
              <w:top w:val="single" w:sz="4" w:space="0" w:color="000000"/>
              <w:left w:val="single" w:sz="4" w:space="0" w:color="000000"/>
              <w:bottom w:val="single" w:sz="4" w:space="0" w:color="000000"/>
            </w:tcBorders>
            <w:shd w:val="clear" w:color="auto" w:fill="auto"/>
          </w:tcPr>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Activităţi eligibile:</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-Infrastructură (inclusiv infrastructura verde și albastră):</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Construcția/reabilitarea/modernizarea infrastructurii aferente sistemelor/structurilor care se ocupă de incendii, inundații, consolidarea malurilor râurilor, canalelor, starea barajelor, împădurirea malurilor râurilor, conservarea, revitalizarea și renaturalizarea corpurilor de apă și a ecosistemelor, conservarea și refacerea râurilor mici;</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-Echipament:dotarea cu echipamentul necesar pentru abordarea situațiilor de urgență (echipamente de stingere a incendiilor, inundații etc), hardware, software, vehicule etc.</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-Strategii și instrumente commune:pentru managementul pericolelor și prevenirea riscurilor, inclusiv planuri de acțiune comune, măsuri tehnice și operaționale;</w:t>
            </w:r>
          </w:p>
          <w:p w:rsid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-Instruiri:programe comune de formare, creare de rețele, schimb de experiență și cunoștințe.</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Toate proiectele trebuie să aibă o componentă de investiții de minimum 500.000 euro. Investiție înseamnă infrastructură și lucrări și/sau echipamente specializate, precum și servicii în mod direct legate de investiție (Ex.: studiu de fezabilitate. proiect tehnic, alte servicii necesare acestora</w:t>
            </w:r>
          </w:p>
          <w:p w:rsid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buna funcționare etc.), care contribuie la obiectivul proiectului și care vor rămâne în folosință ulterior.</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 xml:space="preserve"> Aplicațiile vor fi depuse exclusiv online, prin intermediul sistemului Jems, linkul de acces:</w:t>
            </w:r>
          </w:p>
          <w:p w:rsidR="00C81D4D" w:rsidRPr="00EF43A8" w:rsidRDefault="004A6059" w:rsidP="00EF43A8">
            <w:pPr>
              <w:autoSpaceDE w:val="0"/>
              <w:snapToGrid w:val="0"/>
              <w:spacing w:after="0" w:line="240" w:lineRule="auto"/>
              <w:rPr>
                <w:rFonts w:ascii="Times New Roman" w:hAnsi="Times New Roman" w:cs="Times New Roman"/>
                <w:sz w:val="16"/>
                <w:szCs w:val="16"/>
                <w:lang w:val="en-US"/>
              </w:rPr>
            </w:pPr>
            <w:hyperlink r:id="rId8" w:history="1">
              <w:r w:rsidR="00EF43A8" w:rsidRPr="00225A44">
                <w:rPr>
                  <w:rStyle w:val="Hyperlink"/>
                  <w:rFonts w:ascii="Times New Roman" w:hAnsi="Times New Roman" w:cs="Times New Roman"/>
                  <w:sz w:val="18"/>
                  <w:szCs w:val="18"/>
                  <w:lang w:val="en-US"/>
                </w:rPr>
                <w:t>https://jems-roua.mdlpa.ro/no-auth/login?ref=%2Fapp%2Fdashboard</w:t>
              </w:r>
            </w:hyperlink>
            <w:r w:rsidR="00EF43A8">
              <w:rPr>
                <w:rFonts w:ascii="Times New Roman" w:hAnsi="Times New Roman" w:cs="Times New Roman"/>
                <w:sz w:val="18"/>
                <w:szCs w:val="18"/>
                <w:lang w:val="en-US"/>
              </w:rPr>
              <w:t xml:space="preserve"> </w:t>
            </w:r>
          </w:p>
        </w:tc>
        <w:tc>
          <w:tcPr>
            <w:tcW w:w="1620" w:type="dxa"/>
            <w:tcBorders>
              <w:top w:val="single" w:sz="4" w:space="0" w:color="000000"/>
              <w:left w:val="single" w:sz="4" w:space="0" w:color="000000"/>
              <w:bottom w:val="single" w:sz="4" w:space="0" w:color="000000"/>
            </w:tcBorders>
            <w:shd w:val="clear" w:color="auto" w:fill="auto"/>
          </w:tcPr>
          <w:p w:rsidR="00C81D4D" w:rsidRPr="00607369" w:rsidRDefault="00C81D4D" w:rsidP="00B562E5">
            <w:pPr>
              <w:autoSpaceDE w:val="0"/>
              <w:spacing w:after="0" w:line="240" w:lineRule="auto"/>
              <w:rPr>
                <w:rFonts w:ascii="Times New Roman" w:eastAsia="Times New Roman" w:hAnsi="Times New Roman" w:cs="Times New Roman"/>
                <w:sz w:val="20"/>
                <w:szCs w:val="20"/>
                <w:lang w:val="en-US"/>
              </w:rPr>
            </w:pPr>
            <w:r w:rsidRPr="00607369">
              <w:rPr>
                <w:rFonts w:ascii="Times New Roman" w:eastAsia="Times New Roman" w:hAnsi="Times New Roman" w:cs="Times New Roman"/>
                <w:sz w:val="20"/>
                <w:szCs w:val="20"/>
                <w:lang w:val="en-US"/>
              </w:rPr>
              <w:t>Contribuția UE (grant) care poate fi solicitată pentru finanțarea proiectelor standard în cadrul prezentului apel este între:</w:t>
            </w:r>
          </w:p>
          <w:p w:rsidR="00C81D4D" w:rsidRPr="00ED7065" w:rsidRDefault="00C81D4D" w:rsidP="00C81D4D">
            <w:pPr>
              <w:autoSpaceDE w:val="0"/>
              <w:spacing w:after="0" w:line="240" w:lineRule="auto"/>
              <w:rPr>
                <w:rFonts w:ascii="Times New Roman" w:eastAsia="Times New Roman" w:hAnsi="Times New Roman" w:cs="Times New Roman"/>
                <w:sz w:val="18"/>
                <w:szCs w:val="18"/>
                <w:lang w:val="en-US"/>
              </w:rPr>
            </w:pPr>
            <w:r w:rsidRPr="00C81D4D">
              <w:rPr>
                <w:rFonts w:ascii="Times New Roman" w:eastAsia="Times New Roman" w:hAnsi="Times New Roman" w:cs="Times New Roman"/>
                <w:sz w:val="20"/>
                <w:szCs w:val="20"/>
                <w:lang w:val="en-US"/>
              </w:rPr>
              <w:t xml:space="preserve">800.000-1.400.000 </w:t>
            </w:r>
            <w:r w:rsidRPr="00607369">
              <w:rPr>
                <w:rFonts w:ascii="Times New Roman" w:eastAsia="Times New Roman" w:hAnsi="Times New Roman" w:cs="Times New Roman"/>
                <w:sz w:val="20"/>
                <w:szCs w:val="20"/>
                <w:lang w:val="en-US"/>
              </w:rPr>
              <w:t>EURO.</w:t>
            </w:r>
          </w:p>
        </w:tc>
        <w:tc>
          <w:tcPr>
            <w:tcW w:w="1530" w:type="dxa"/>
            <w:tcBorders>
              <w:top w:val="single" w:sz="4" w:space="0" w:color="000000"/>
              <w:left w:val="single" w:sz="4" w:space="0" w:color="000000"/>
              <w:bottom w:val="single" w:sz="4" w:space="0" w:color="000000"/>
            </w:tcBorders>
            <w:shd w:val="clear" w:color="auto" w:fill="auto"/>
          </w:tcPr>
          <w:p w:rsidR="00C81D4D" w:rsidRPr="00607369" w:rsidRDefault="00C81D4D" w:rsidP="00B562E5">
            <w:pPr>
              <w:autoSpaceDE w:val="0"/>
              <w:snapToGrid w:val="0"/>
              <w:spacing w:after="0" w:line="240" w:lineRule="auto"/>
              <w:rPr>
                <w:rFonts w:ascii="Times New Roman" w:hAnsi="Times New Roman" w:cs="Times New Roman"/>
                <w:sz w:val="20"/>
                <w:szCs w:val="20"/>
                <w:lang w:val="en-US"/>
              </w:rPr>
            </w:pPr>
            <w:r w:rsidRPr="00607369">
              <w:rPr>
                <w:rFonts w:ascii="Times New Roman" w:hAnsi="Times New Roman" w:cs="Times New Roman"/>
                <w:sz w:val="20"/>
                <w:szCs w:val="20"/>
                <w:lang w:val="en-US"/>
              </w:rPr>
              <w:t>Cofinanțarea va fi de cel puțin 10% din costurile totale eligibile ale proiectului și va fi asigurată</w:t>
            </w:r>
          </w:p>
          <w:p w:rsidR="00C81D4D" w:rsidRPr="00607369" w:rsidRDefault="00C81D4D" w:rsidP="00B562E5">
            <w:pPr>
              <w:autoSpaceDE w:val="0"/>
              <w:snapToGrid w:val="0"/>
              <w:spacing w:after="0" w:line="240" w:lineRule="auto"/>
              <w:rPr>
                <w:rFonts w:ascii="Times New Roman" w:hAnsi="Times New Roman" w:cs="Times New Roman"/>
                <w:sz w:val="20"/>
                <w:szCs w:val="20"/>
                <w:lang w:val="en-US"/>
              </w:rPr>
            </w:pPr>
            <w:r w:rsidRPr="00607369">
              <w:rPr>
                <w:rFonts w:ascii="Times New Roman" w:hAnsi="Times New Roman" w:cs="Times New Roman"/>
                <w:sz w:val="20"/>
                <w:szCs w:val="20"/>
                <w:lang w:val="en-US"/>
              </w:rPr>
              <w:t>de către toți partenerii din proiect care primesc un sprijin financiar din partea Programului; cofinanțarea</w:t>
            </w:r>
          </w:p>
          <w:p w:rsidR="00C81D4D" w:rsidRDefault="00C81D4D" w:rsidP="00B562E5">
            <w:pPr>
              <w:autoSpaceDE w:val="0"/>
              <w:snapToGrid w:val="0"/>
              <w:spacing w:after="0" w:line="240" w:lineRule="auto"/>
              <w:rPr>
                <w:rFonts w:ascii="Times New Roman" w:hAnsi="Times New Roman" w:cs="Times New Roman"/>
                <w:sz w:val="16"/>
                <w:szCs w:val="16"/>
                <w:lang w:val="en-US"/>
              </w:rPr>
            </w:pPr>
            <w:r w:rsidRPr="00607369">
              <w:rPr>
                <w:rFonts w:ascii="Times New Roman" w:hAnsi="Times New Roman" w:cs="Times New Roman"/>
                <w:sz w:val="20"/>
                <w:szCs w:val="20"/>
                <w:lang w:val="en-US"/>
              </w:rPr>
              <w:t>asigurate de fiecare partener ar trebui să reprezinte cel puțin 10% din propriile cheltuieli eligibile.</w:t>
            </w:r>
          </w:p>
        </w:tc>
        <w:tc>
          <w:tcPr>
            <w:tcW w:w="1080" w:type="dxa"/>
            <w:tcBorders>
              <w:top w:val="single" w:sz="4" w:space="0" w:color="000000"/>
              <w:left w:val="single" w:sz="4" w:space="0" w:color="000000"/>
              <w:bottom w:val="single" w:sz="4" w:space="0" w:color="000000"/>
            </w:tcBorders>
            <w:shd w:val="clear" w:color="auto" w:fill="auto"/>
          </w:tcPr>
          <w:p w:rsidR="00C81D4D" w:rsidRDefault="00EF43A8" w:rsidP="00B562E5">
            <w:pPr>
              <w:autoSpaceDE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16 iulie 2024</w:t>
            </w:r>
            <w:r w:rsidR="00C81D4D" w:rsidRPr="005E1DE4">
              <w:rPr>
                <w:rFonts w:ascii="Times New Roman" w:hAnsi="Times New Roman" w:cs="Times New Roman"/>
                <w:sz w:val="18"/>
                <w:szCs w:val="18"/>
                <w:lang w:val="en-US"/>
              </w:rPr>
              <w:t>, orele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C81D4D" w:rsidRDefault="004A6059" w:rsidP="00B562E5">
            <w:pPr>
              <w:autoSpaceDE w:val="0"/>
              <w:spacing w:after="0" w:line="240" w:lineRule="auto"/>
            </w:pPr>
            <w:hyperlink r:id="rId9" w:history="1">
              <w:r w:rsidR="00EF43A8" w:rsidRPr="00225A44">
                <w:rPr>
                  <w:rStyle w:val="Hyperlink"/>
                </w:rPr>
                <w:t>https://ro-ua.net/ro/comunicare-2021-2027/noutati-2021-2027/1577-apel2-deschis-pentru-proiecte-standard</w:t>
              </w:r>
            </w:hyperlink>
          </w:p>
          <w:p w:rsidR="00EF43A8" w:rsidRDefault="00EF43A8"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Pr="00655ADF" w:rsidRDefault="008B178F" w:rsidP="00B562E5">
            <w:pPr>
              <w:rPr>
                <w:rFonts w:ascii="Times New Roman" w:hAnsi="Times New Roman" w:cs="Times New Roman"/>
                <w:b/>
                <w:sz w:val="18"/>
                <w:szCs w:val="18"/>
              </w:rPr>
            </w:pPr>
            <w:r w:rsidRPr="00655ADF">
              <w:rPr>
                <w:rFonts w:ascii="Times New Roman" w:hAnsi="Times New Roman" w:cs="Times New Roman"/>
                <w:b/>
                <w:sz w:val="18"/>
                <w:szCs w:val="18"/>
              </w:rPr>
              <w:t xml:space="preserve">Programul Rabla Clasic - </w:t>
            </w:r>
            <w:r w:rsidRPr="008B178F">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Scopul programului îl constituie îmbunătăţirea calităţii mediului prin înnoirea parcului auto naţional.</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Bugetul alocat Programului Rabla Clasic este de 300 de milioane. </w:t>
            </w:r>
          </w:p>
          <w:p w:rsid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 Programul se va desfășura în etape, în limita sumelor alocate, astfel:</w:t>
            </w: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martie – 19 aprilie 2024</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Persoane juridice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UAT-uri și instituții publice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19 martie – 25 noiembrie 2024</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555EAF" w:rsidRDefault="008B178F" w:rsidP="008B178F">
            <w:pPr>
              <w:autoSpaceDE w:val="0"/>
              <w:spacing w:after="0" w:line="240" w:lineRule="auto"/>
              <w:rPr>
                <w:rFonts w:ascii="Times New Roman" w:eastAsia="Times New Roman" w:hAnsi="Times New Roman" w:cs="Times New Roman"/>
                <w:sz w:val="24"/>
                <w:szCs w:val="24"/>
                <w:lang w:val="en-US"/>
              </w:rPr>
            </w:pPr>
            <w:r w:rsidRPr="008B178F">
              <w:rPr>
                <w:rFonts w:ascii="Times New Roman" w:eastAsia="Times New Roman" w:hAnsi="Times New Roman" w:cs="Times New Roman"/>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D4415B" w:rsidRDefault="008B178F" w:rsidP="00B562E5">
            <w:pPr>
              <w:autoSpaceDE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Clasic este de 120 de zile de la data emiterii, timp în care beneficiarii vor derula toate procedurile specifice de achiziție a autovehiculului nou.</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La prima de casare se pot adăuga următoarele ecobonusuri, astfel:</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al cărui sistem de propulsie generează maximum 120 g CO2/km în sistem WLTP;</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echipat cu motorizare GPL/GNC;</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3.000 lei la achiziţionarea unui autovehicul nou, exceptând motocicletele, echipat cu sistem de propulsie hibrid;</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ecobonus în valoare de 1.500 lei, pentru casarea fiecărui autovehicul uzat cu o vechime de cel puțin 15 ani de la data fabricației și/sau care are norma de poluare Euro 3 sau inferioară. </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Pentru achiziționarea de motociclete noi al căror sistem de propulsie generează maximum 120 g CO_2/km în sistem WMTC, în schimbul predării spre casare a unui autovehicul uzat, se acordă o primă de casare de 7.000 lei, la care se pot adăuga:</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motocicletă al cărui sistem de propulsie generează maximum 90 g CO2/km în sistem WMTC;</w:t>
            </w:r>
          </w:p>
          <w:p w:rsidR="008B178F" w:rsidRPr="00555EA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casarea unui autovehicul uzat cu o vechime de cel puțin 15 ani de la data fabricației și/sau care are norma de poluare Euro 3 sau inferioară.</w:t>
            </w:r>
          </w:p>
        </w:tc>
        <w:tc>
          <w:tcPr>
            <w:tcW w:w="1620" w:type="dxa"/>
            <w:tcBorders>
              <w:top w:val="single" w:sz="4" w:space="0" w:color="000000"/>
              <w:left w:val="single" w:sz="4" w:space="0" w:color="000000"/>
              <w:bottom w:val="single" w:sz="4" w:space="0" w:color="000000"/>
            </w:tcBorders>
            <w:shd w:val="clear" w:color="auto" w:fill="auto"/>
          </w:tcPr>
          <w:p w:rsidR="008B178F" w:rsidRPr="00655AD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În ceea ce privește Programul Rabla Clasic, prima de casare este de 7.000 lei, respectiv 10.000 lei în cazul predării a 2 autovehicule uzate.</w:t>
            </w:r>
          </w:p>
          <w:p w:rsidR="008B178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Prima de casare se acordă pentru autovehiculul nou, exceptând motocicletele, al cărui sistem de propulsie generează maximum 155 g CO_2/km în sistem WLTP.</w:t>
            </w:r>
          </w:p>
          <w:p w:rsidR="008B178F" w:rsidRDefault="008B178F" w:rsidP="00B562E5">
            <w:pPr>
              <w:autoSpaceDE w:val="0"/>
              <w:spacing w:after="0" w:line="240" w:lineRule="auto"/>
              <w:rPr>
                <w:rFonts w:ascii="Times New Roman" w:eastAsia="Times New Roman" w:hAnsi="Times New Roman" w:cs="Times New Roman"/>
                <w:sz w:val="18"/>
                <w:szCs w:val="18"/>
                <w:lang w:val="en-US"/>
              </w:rPr>
            </w:pPr>
          </w:p>
          <w:p w:rsidR="008B178F" w:rsidRPr="00555EA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Instituțiile publice și unitățile administrativ-teritoriale pot beneficia de prima de casare în cuantum de 7.000 lei la achiziţionarea unui autovehicul nou, fără a fi obligate să predea spre casare un autovehicul uzat. În situația în care optează pentru achiziţionarea unui autovehicul nou în schimbul casării a două autovehicule uzate, vor beneficia de prima de casare de 10.000 lei.</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E80796"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aprilie 2024</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25 noiembrie 2024</w:t>
            </w:r>
          </w:p>
          <w:p w:rsidR="008B178F" w:rsidRPr="00D4415B" w:rsidRDefault="008B178F" w:rsidP="00B562E5">
            <w:pPr>
              <w:autoSpaceDE w:val="0"/>
              <w:spacing w:after="0" w:line="240" w:lineRule="auto"/>
              <w:rPr>
                <w:rFonts w:ascii="Times New Roman" w:hAnsi="Times New Roman" w:cs="Times New Roman"/>
                <w:sz w:val="18"/>
                <w:szCs w:val="18"/>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4A6059" w:rsidP="00B562E5">
            <w:pPr>
              <w:autoSpaceDE w:val="0"/>
              <w:spacing w:after="0" w:line="240" w:lineRule="auto"/>
            </w:pPr>
            <w:hyperlink r:id="rId10" w:history="1">
              <w:r w:rsidR="00E80796" w:rsidRPr="00225A44">
                <w:rPr>
                  <w:rStyle w:val="Hyperlink"/>
                </w:rPr>
                <w:t>https://www.fonduri-structurale.ro/alte-finantari/866/programul-rabla-clasic-2024</w:t>
              </w:r>
            </w:hyperlink>
          </w:p>
          <w:p w:rsidR="00E80796" w:rsidRDefault="00E80796"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E80796">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 xml:space="preserve">Programul Rabla Plus - </w:t>
            </w:r>
            <w:r w:rsidR="00E80796">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P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Scopul programului îl constituie îmbunătăţirea calităţii mediului prin achiziţionarea de autovehicule noi pur electrice sau autovehicule noi electrice hibride.</w:t>
            </w:r>
          </w:p>
          <w:p w:rsid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 xml:space="preserve">Bugetul alocat Programului Rabla Plus este de </w:t>
            </w:r>
            <w:r w:rsidR="00E80796" w:rsidRPr="00E80796">
              <w:rPr>
                <w:rFonts w:ascii="Times New Roman" w:eastAsia="Times New Roman" w:hAnsi="Times New Roman" w:cs="Times New Roman"/>
                <w:sz w:val="20"/>
                <w:szCs w:val="20"/>
                <w:lang w:val="en-US"/>
              </w:rPr>
              <w:t xml:space="preserve">1 miliard de lei . </w:t>
            </w:r>
          </w:p>
          <w:p w:rsid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Programul se va desfășura în etape, în limita sumelor alocate, astfel:</w:t>
            </w:r>
          </w:p>
          <w:p w:rsidR="00E80796" w:rsidRPr="00E80796" w:rsidRDefault="00E80796" w:rsidP="00E80796">
            <w:pPr>
              <w:autoSpaceDE w:val="0"/>
              <w:spacing w:after="0" w:line="240" w:lineRule="auto"/>
              <w:rPr>
                <w:rFonts w:ascii="Times New Roman" w:eastAsia="Times New Roman" w:hAnsi="Times New Roman" w:cs="Times New Roman"/>
                <w:sz w:val="20"/>
                <w:szCs w:val="20"/>
                <w:lang w:val="en-US"/>
              </w:rPr>
            </w:pP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18 august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fizice – 420.000.000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25 noiembrie 2024</w:t>
            </w:r>
          </w:p>
          <w:p w:rsidR="008B178F" w:rsidRP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18"/>
                <w:szCs w:val="18"/>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E80796" w:rsidRDefault="008B178F" w:rsidP="00B562E5">
            <w:pPr>
              <w:autoSpaceDE w:val="0"/>
              <w:spacing w:after="0" w:line="240" w:lineRule="auto"/>
              <w:rPr>
                <w:rFonts w:ascii="Times New Roman" w:hAnsi="Times New Roman" w:cs="Times New Roman"/>
                <w:lang w:val="en-US"/>
              </w:rPr>
            </w:pPr>
            <w:r w:rsidRPr="00E80796">
              <w:rPr>
                <w:rFonts w:ascii="Times New Roman" w:hAnsi="Times New Roman" w:cs="Times New Roman"/>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Plus este de 120 de zile de la data emiterii, timp în care beneficiarii vor derula toate procedurile specifice de achiziție a autovehiculului nou.</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În cadrul Programului Rabla Plus, solicitantul beneficiază de ecotichet la achiziţionarea unui autovehicul nou în schimbul predării spre casare a cel puţin unui autovehicul uzat. Se pot preda spre casare maximum două autovehicule uzate.</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Ecotichetul se acordă pentru achiziționarea unui autovehicul electric a cărui valoare nu depășește suma de 7</w:t>
            </w:r>
            <w:r w:rsidR="001C5575">
              <w:rPr>
                <w:rFonts w:ascii="Times New Roman" w:hAnsi="Times New Roman" w:cs="Times New Roman"/>
                <w:sz w:val="20"/>
                <w:szCs w:val="20"/>
                <w:lang w:val="en-US"/>
              </w:rPr>
              <w:t>0</w:t>
            </w:r>
            <w:r w:rsidRPr="00655ADF">
              <w:rPr>
                <w:rFonts w:ascii="Times New Roman" w:hAnsi="Times New Roman" w:cs="Times New Roman"/>
                <w:sz w:val="20"/>
                <w:szCs w:val="20"/>
                <w:lang w:val="en-US"/>
              </w:rPr>
              <w:t>.000 euro, cu TVA inclus.</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Instituțiile publice și unitățile administrativ-teritoriale beneficiază de ecotichet în cuantum de 120.000 lei la achiziţionarea unui autovehicul nou, fără a fi obligate să predea spre casare un autovehicul uzat.</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Ecotichetul pentru achiziționarea unei motociclete electrice este de </w:t>
            </w:r>
            <w:r w:rsidR="001C5575">
              <w:rPr>
                <w:rFonts w:ascii="Times New Roman" w:hAnsi="Times New Roman" w:cs="Times New Roman"/>
                <w:sz w:val="20"/>
                <w:szCs w:val="20"/>
                <w:lang w:val="en-US"/>
              </w:rPr>
              <w:t>13</w:t>
            </w:r>
            <w:r w:rsidRPr="00655ADF">
              <w:rPr>
                <w:rFonts w:ascii="Times New Roman" w:hAnsi="Times New Roman" w:cs="Times New Roman"/>
                <w:sz w:val="20"/>
                <w:szCs w:val="20"/>
                <w:lang w:val="en-US"/>
              </w:rPr>
              <w:t>.000 lei.</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1C5575" w:rsidP="00B562E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Ca noutate, începând de anul acesta, autovehiculele achiziționate în cadrul acestor programe, vor avea aplicat un autocolant, ca element de vizibilitate, pe care beneficiarii vor trebui să îl mențină până la finali</w:t>
            </w:r>
            <w:r>
              <w:rPr>
                <w:rFonts w:ascii="Times New Roman" w:hAnsi="Times New Roman" w:cs="Times New Roman"/>
                <w:sz w:val="20"/>
                <w:szCs w:val="20"/>
                <w:lang w:val="en-US"/>
              </w:rPr>
              <w:t>zarea perioadei de monitorizare</w:t>
            </w:r>
            <w:r w:rsidR="008B178F" w:rsidRPr="00655ADF">
              <w:rPr>
                <w:rFonts w:ascii="Times New Roman" w:hAnsi="Times New Roman" w:cs="Times New Roman"/>
                <w:sz w:val="20"/>
                <w:szCs w:val="20"/>
                <w:lang w:val="en-US"/>
              </w:rPr>
              <w:t>.</w:t>
            </w:r>
          </w:p>
        </w:tc>
        <w:tc>
          <w:tcPr>
            <w:tcW w:w="1620" w:type="dxa"/>
            <w:tcBorders>
              <w:top w:val="single" w:sz="4" w:space="0" w:color="000000"/>
              <w:left w:val="single" w:sz="4" w:space="0" w:color="000000"/>
              <w:bottom w:val="single" w:sz="4" w:space="0" w:color="000000"/>
            </w:tcBorders>
            <w:shd w:val="clear" w:color="auto" w:fill="auto"/>
          </w:tcPr>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Cuantumul ecotichetului, indiferent de numărul de autovehicule uzate predate spre casare, este de:</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25.500 lei pentru achiziţionarea unui autovehicul nou pur electric sau a unui autovehicul nou cu pilă de combustie cu hidrogen, exceptând motocicleta;</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13.000 lei pentru achiziţionarea unui autovehicul nou electric hibrid, exceptând motocicleta, care generează maximum 80 g CO_2/km în sistem WLTP;</w:t>
            </w:r>
          </w:p>
          <w:p w:rsidR="008B178F" w:rsidRPr="00655ADF" w:rsidRDefault="001C5575" w:rsidP="001C5575">
            <w:pPr>
              <w:autoSpaceDE w:val="0"/>
              <w:spacing w:after="0" w:line="240" w:lineRule="auto"/>
              <w:rPr>
                <w:rFonts w:ascii="Times New Roman" w:eastAsia="Times New Roman" w:hAnsi="Times New Roman" w:cs="Times New Roman"/>
                <w:sz w:val="18"/>
                <w:szCs w:val="18"/>
                <w:lang w:val="en-US"/>
              </w:rPr>
            </w:pPr>
            <w:r w:rsidRPr="001C5575">
              <w:rPr>
                <w:rFonts w:ascii="Times New Roman" w:hAnsi="Times New Roman" w:cs="Times New Roman"/>
                <w:sz w:val="20"/>
                <w:szCs w:val="20"/>
                <w:lang w:val="en-US"/>
              </w:rPr>
              <w:t>13.000 lei pentru achiziţionarea unei motociclete electrice.</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I: 19 martie – 18 august 2024</w:t>
            </w:r>
            <w:r>
              <w:rPr>
                <w:rFonts w:ascii="Times New Roman" w:eastAsia="Times New Roman" w:hAnsi="Times New Roman" w:cs="Times New Roman"/>
                <w:sz w:val="18"/>
                <w:szCs w:val="18"/>
                <w:lang w:val="en-US"/>
              </w:rPr>
              <w:t>:</w:t>
            </w:r>
          </w:p>
          <w:p w:rsidR="001C5575"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a II-a: 19 august – 25 noiembrie 2024</w:t>
            </w:r>
          </w:p>
          <w:p w:rsidR="008B178F" w:rsidRPr="00655ADF" w:rsidRDefault="001C5575" w:rsidP="001C5575">
            <w:pPr>
              <w:autoSpaceDE w:val="0"/>
              <w:spacing w:after="0" w:line="240" w:lineRule="auto"/>
              <w:rPr>
                <w:rFonts w:ascii="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4A6059" w:rsidP="00B562E5">
            <w:pPr>
              <w:autoSpaceDE w:val="0"/>
              <w:spacing w:after="0" w:line="240" w:lineRule="auto"/>
            </w:pPr>
            <w:hyperlink r:id="rId11" w:history="1">
              <w:r w:rsidR="001C5575" w:rsidRPr="00225A44">
                <w:rPr>
                  <w:rStyle w:val="Hyperlink"/>
                </w:rPr>
                <w:t>https://www.fonduri-structurale.ro/alte-finantari/867/programul-rabla-plus-2024</w:t>
              </w:r>
            </w:hyperlink>
          </w:p>
          <w:p w:rsidR="001C5575" w:rsidRDefault="001C5575" w:rsidP="00B562E5">
            <w:pPr>
              <w:autoSpaceDE w:val="0"/>
              <w:spacing w:after="0" w:line="240" w:lineRule="auto"/>
            </w:pPr>
          </w:p>
        </w:tc>
      </w:tr>
      <w:tr w:rsidR="00AB6ABA"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AB6ABA" w:rsidRPr="006D4CA5" w:rsidRDefault="00AB6ABA" w:rsidP="00B7416F">
            <w:pPr>
              <w:rPr>
                <w:rFonts w:ascii="Times New Roman" w:hAnsi="Times New Roman" w:cs="Times New Roman"/>
                <w:b/>
                <w:sz w:val="18"/>
                <w:szCs w:val="18"/>
              </w:rPr>
            </w:pPr>
            <w:r w:rsidRPr="006D4CA5">
              <w:rPr>
                <w:rFonts w:ascii="Times New Roman" w:hAnsi="Times New Roman" w:cs="Times New Roman"/>
                <w:b/>
                <w:sz w:val="18"/>
                <w:szCs w:val="18"/>
              </w:rPr>
              <w:lastRenderedPageBreak/>
              <w:t>Comisia Europeană</w:t>
            </w:r>
          </w:p>
          <w:p w:rsidR="00AB6ABA" w:rsidRDefault="00AB6ABA" w:rsidP="00B7416F">
            <w:pPr>
              <w:rPr>
                <w:rFonts w:ascii="Times New Roman" w:hAnsi="Times New Roman" w:cs="Times New Roman"/>
                <w:b/>
                <w:sz w:val="18"/>
                <w:szCs w:val="18"/>
              </w:rPr>
            </w:pPr>
            <w:r w:rsidRPr="006D4CA5">
              <w:rPr>
                <w:rFonts w:ascii="Times New Roman" w:hAnsi="Times New Roman" w:cs="Times New Roman"/>
                <w:b/>
                <w:sz w:val="18"/>
                <w:szCs w:val="18"/>
              </w:rPr>
              <w:t>Agenția Executivă Europeană pentru Climă, Infrastructură și Mediu</w:t>
            </w:r>
          </w:p>
          <w:p w:rsidR="00AB6ABA" w:rsidRPr="00C56108" w:rsidRDefault="00AB6ABA" w:rsidP="00B7416F">
            <w:pPr>
              <w:rPr>
                <w:rFonts w:ascii="Times New Roman" w:hAnsi="Times New Roman" w:cs="Times New Roman"/>
                <w:b/>
                <w:sz w:val="18"/>
                <w:szCs w:val="18"/>
              </w:rPr>
            </w:pPr>
          </w:p>
          <w:p w:rsidR="00AB6ABA" w:rsidRPr="00C56108" w:rsidRDefault="00AB6ABA" w:rsidP="00B7416F">
            <w:pPr>
              <w:rPr>
                <w:rFonts w:ascii="Times New Roman" w:hAnsi="Times New Roman" w:cs="Times New Roman"/>
                <w:b/>
                <w:sz w:val="18"/>
                <w:szCs w:val="18"/>
              </w:rPr>
            </w:pPr>
            <w:r w:rsidRPr="00C56108">
              <w:rPr>
                <w:rFonts w:ascii="Times New Roman" w:hAnsi="Times New Roman" w:cs="Times New Roman"/>
                <w:b/>
                <w:sz w:val="18"/>
                <w:szCs w:val="18"/>
              </w:rPr>
              <w:t>Programul LIFE - Apeluri 2024</w:t>
            </w:r>
          </w:p>
          <w:p w:rsidR="00AB6ABA" w:rsidRDefault="00AB6ABA" w:rsidP="00B7416F">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AB6ABA" w:rsidRPr="009B1336" w:rsidRDefault="00AB6ABA" w:rsidP="00B7416F">
            <w:pPr>
              <w:autoSpaceDE w:val="0"/>
              <w:spacing w:after="0" w:line="240" w:lineRule="auto"/>
              <w:rPr>
                <w:rFonts w:ascii="Times New Roman" w:eastAsia="Times New Roman" w:hAnsi="Times New Roman" w:cs="Times New Roman"/>
                <w:sz w:val="18"/>
                <w:szCs w:val="18"/>
                <w:lang w:val="en-US"/>
              </w:rPr>
            </w:pPr>
            <w:r w:rsidRPr="00D67393">
              <w:rPr>
                <w:rFonts w:ascii="Times New Roman" w:eastAsia="Times New Roman" w:hAnsi="Times New Roman" w:cs="Times New Roman"/>
                <w:sz w:val="18"/>
                <w:szCs w:val="18"/>
                <w:lang w:val="en-US"/>
              </w:rPr>
              <w:t>Programul LIFE este singurul program al UE dedicat exclusiv mediului, conservării naturii și acțiunilor de combatere a schimbărilor climatice.</w:t>
            </w:r>
          </w:p>
        </w:tc>
        <w:tc>
          <w:tcPr>
            <w:tcW w:w="2159" w:type="dxa"/>
            <w:tcBorders>
              <w:top w:val="single" w:sz="4" w:space="0" w:color="000000"/>
              <w:left w:val="single" w:sz="4" w:space="0" w:color="000000"/>
              <w:bottom w:val="single" w:sz="4" w:space="0" w:color="000000"/>
            </w:tcBorders>
            <w:shd w:val="clear" w:color="auto" w:fill="auto"/>
          </w:tcPr>
          <w:p w:rsidR="00AB6ABA" w:rsidRPr="00955210" w:rsidRDefault="00AB6ABA" w:rsidP="00B7416F">
            <w:pPr>
              <w:autoSpaceDE w:val="0"/>
              <w:spacing w:after="0" w:line="240" w:lineRule="auto"/>
              <w:rPr>
                <w:rFonts w:ascii="Times New Roman" w:hAnsi="Times New Roman" w:cs="Times New Roman"/>
                <w:lang w:val="en-US"/>
              </w:rPr>
            </w:pPr>
            <w:r w:rsidRPr="00811CC7">
              <w:rPr>
                <w:rFonts w:ascii="Times New Roman" w:hAnsi="Times New Roman" w:cs="Times New Roman"/>
                <w:lang w:val="en-US"/>
              </w:rPr>
              <w:t>întreprinderi, instituții academice, administrații naționale, regionale și locale și organizații neguvernamentale care lucrează în UE în domeniul conservării naturii, al protecției mediului, al schimbărilor climatice sau al tranziției către o energie curată</w:t>
            </w:r>
          </w:p>
        </w:tc>
        <w:tc>
          <w:tcPr>
            <w:tcW w:w="4050" w:type="dxa"/>
            <w:tcBorders>
              <w:top w:val="single" w:sz="4" w:space="0" w:color="000000"/>
              <w:left w:val="single" w:sz="4" w:space="0" w:color="000000"/>
              <w:bottom w:val="single" w:sz="4" w:space="0" w:color="000000"/>
            </w:tcBorders>
            <w:shd w:val="clear" w:color="auto" w:fill="auto"/>
          </w:tcPr>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Bugetul programului pentru perioada 2021-2027 este de 571 de milioane de euro, împărțit astfel:</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 xml:space="preserve">Proiecte de Acțiune Standard </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Natură și biodiversitate - 155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Economie circulară și calitatea vieții - 65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Atenuarea și adaptarea la schimbările climatice - 61,98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Tranziția către energie curată - 4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Noul Bauhaus European - 8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Guvernare ambientală - 10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Acțiuni de Coordonare și Suport</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Tranziția către energie curată - 77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Proiecte Strategice și Integrative - 150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Asistență Tehnică pentru Pregătirea Proiectelor Strategice și Integrative - 26 milioane euro.</w:t>
            </w:r>
          </w:p>
          <w:p w:rsidR="00AB6ABA" w:rsidRPr="00412E5B"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Acorduri Specifice de Finanțare pentru Organizațiile Neguvernamentale (ONG-uri) - 14 milioane euro.</w:t>
            </w:r>
          </w:p>
        </w:tc>
        <w:tc>
          <w:tcPr>
            <w:tcW w:w="1620" w:type="dxa"/>
            <w:tcBorders>
              <w:top w:val="single" w:sz="4" w:space="0" w:color="000000"/>
              <w:left w:val="single" w:sz="4" w:space="0" w:color="000000"/>
              <w:bottom w:val="single" w:sz="4" w:space="0" w:color="000000"/>
            </w:tcBorders>
            <w:shd w:val="clear" w:color="auto" w:fill="auto"/>
          </w:tcPr>
          <w:p w:rsidR="00AB6ABA" w:rsidRPr="00701267" w:rsidRDefault="00AB6ABA" w:rsidP="00B7416F">
            <w:pPr>
              <w:autoSpaceDE w:val="0"/>
              <w:snapToGrid w:val="0"/>
              <w:spacing w:after="0" w:line="240" w:lineRule="auto"/>
              <w:rPr>
                <w:rFonts w:ascii="Times New Roman" w:hAnsi="Times New Roman" w:cs="Times New Roman"/>
                <w:sz w:val="16"/>
                <w:szCs w:val="16"/>
                <w:lang w:val="en-US"/>
              </w:rPr>
            </w:pPr>
          </w:p>
          <w:p w:rsidR="00AB6ABA" w:rsidRPr="00701267" w:rsidRDefault="00AB6ABA" w:rsidP="00B7416F">
            <w:pPr>
              <w:autoSpaceDE w:val="0"/>
              <w:snapToGrid w:val="0"/>
              <w:spacing w:after="0" w:line="240" w:lineRule="auto"/>
              <w:rPr>
                <w:rFonts w:ascii="Times New Roman" w:hAnsi="Times New Roman" w:cs="Times New Roman"/>
                <w:sz w:val="16"/>
                <w:szCs w:val="16"/>
                <w:lang w:val="en-US"/>
              </w:rPr>
            </w:pPr>
          </w:p>
          <w:p w:rsidR="00AB6ABA" w:rsidRPr="009B5380" w:rsidRDefault="00AB6ABA" w:rsidP="00B7416F">
            <w:pPr>
              <w:autoSpaceDE w:val="0"/>
              <w:snapToGrid w:val="0"/>
              <w:spacing w:after="0" w:line="240" w:lineRule="auto"/>
              <w:rPr>
                <w:rFonts w:ascii="Times New Roman" w:hAnsi="Times New Roman" w:cs="Times New Roman"/>
                <w:sz w:val="20"/>
                <w:szCs w:val="20"/>
                <w:lang w:val="en-US"/>
              </w:rPr>
            </w:pPr>
            <w:r w:rsidRPr="009B5380">
              <w:rPr>
                <w:rFonts w:ascii="Times New Roman" w:hAnsi="Times New Roman" w:cs="Times New Roman"/>
                <w:sz w:val="20"/>
                <w:szCs w:val="20"/>
                <w:lang w:val="en-US"/>
              </w:rPr>
              <w:t>571 de milioane de euro</w:t>
            </w:r>
          </w:p>
        </w:tc>
        <w:tc>
          <w:tcPr>
            <w:tcW w:w="1530" w:type="dxa"/>
            <w:tcBorders>
              <w:top w:val="single" w:sz="4" w:space="0" w:color="000000"/>
              <w:left w:val="single" w:sz="4" w:space="0" w:color="000000"/>
              <w:bottom w:val="single" w:sz="4" w:space="0" w:color="000000"/>
            </w:tcBorders>
            <w:shd w:val="clear" w:color="auto" w:fill="auto"/>
          </w:tcPr>
          <w:p w:rsidR="00AB6ABA" w:rsidRPr="00412E5B" w:rsidRDefault="00AB6ABA" w:rsidP="00B7416F">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AB6ABA" w:rsidRPr="00D3586D" w:rsidRDefault="00AB6ABA" w:rsidP="00B7416F">
            <w:pPr>
              <w:autoSpaceDE w:val="0"/>
              <w:spacing w:after="0" w:line="240" w:lineRule="auto"/>
              <w:rPr>
                <w:rFonts w:ascii="Times New Roman" w:eastAsia="Times New Roman" w:hAnsi="Times New Roman" w:cs="Times New Roman"/>
                <w:sz w:val="18"/>
                <w:szCs w:val="18"/>
                <w:lang w:val="en-US"/>
              </w:rPr>
            </w:pPr>
            <w:r w:rsidRPr="009C3D59">
              <w:rPr>
                <w:rFonts w:ascii="Times New Roman" w:eastAsia="Times New Roman" w:hAnsi="Times New Roman" w:cs="Times New Roman"/>
                <w:sz w:val="18"/>
                <w:szCs w:val="18"/>
                <w:lang w:val="en-US"/>
              </w:rPr>
              <w:t>17 septembrie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AB6ABA" w:rsidRPr="00521995" w:rsidRDefault="00AB6ABA" w:rsidP="00B7416F">
            <w:pPr>
              <w:autoSpaceDE w:val="0"/>
              <w:spacing w:after="0" w:line="240" w:lineRule="auto"/>
              <w:rPr>
                <w:color w:val="7030A0"/>
                <w:u w:val="single"/>
              </w:rPr>
            </w:pPr>
            <w:r w:rsidRPr="00521995">
              <w:rPr>
                <w:color w:val="7030A0"/>
                <w:u w:val="single"/>
              </w:rPr>
              <w:t>https://www.fonduri-structurale.ro/alte-finantari/889/programul-life-apeluri-2024</w:t>
            </w:r>
          </w:p>
        </w:tc>
      </w:tr>
      <w:tr w:rsidR="00F64EE5"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F64EE5" w:rsidRDefault="00F64EE5" w:rsidP="00B7416F">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Ministerul Investiţiilor şi Proiectelor Europene</w:t>
            </w:r>
          </w:p>
          <w:p w:rsidR="00F64EE5" w:rsidRDefault="00F64EE5" w:rsidP="00B7416F">
            <w:pPr>
              <w:autoSpaceDE w:val="0"/>
              <w:spacing w:after="0" w:line="240" w:lineRule="auto"/>
              <w:rPr>
                <w:rFonts w:ascii="Times New Roman" w:hAnsi="Times New Roman" w:cs="Times New Roman"/>
                <w:b/>
                <w:sz w:val="18"/>
                <w:szCs w:val="18"/>
              </w:rPr>
            </w:pPr>
          </w:p>
          <w:p w:rsidR="00F64EE5" w:rsidRDefault="00F64EE5" w:rsidP="00B7416F">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Programul Educație și Ocupare (PEO) 2021-2027</w:t>
            </w:r>
          </w:p>
          <w:p w:rsidR="00F64EE5" w:rsidRDefault="00F64EE5" w:rsidP="00B7416F">
            <w:pPr>
              <w:autoSpaceDE w:val="0"/>
              <w:spacing w:after="0" w:line="240" w:lineRule="auto"/>
              <w:rPr>
                <w:rFonts w:ascii="Times New Roman" w:hAnsi="Times New Roman" w:cs="Times New Roman"/>
                <w:b/>
                <w:sz w:val="18"/>
                <w:szCs w:val="18"/>
              </w:rPr>
            </w:pPr>
          </w:p>
          <w:p w:rsidR="00F64EE5" w:rsidRPr="00C749EF" w:rsidRDefault="00F64EE5" w:rsidP="00B7416F">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Diversificarea și flexibilizarea serviciilor de educație timpurie</w:t>
            </w:r>
          </w:p>
        </w:tc>
        <w:tc>
          <w:tcPr>
            <w:tcW w:w="1953" w:type="dxa"/>
            <w:tcBorders>
              <w:top w:val="single" w:sz="4" w:space="0" w:color="000000"/>
              <w:left w:val="single" w:sz="4" w:space="0" w:color="000000"/>
              <w:bottom w:val="single" w:sz="4" w:space="0" w:color="000000"/>
            </w:tcBorders>
            <w:shd w:val="clear" w:color="auto" w:fill="auto"/>
          </w:tcPr>
          <w:p w:rsidR="00F64EE5" w:rsidRPr="004D64A0" w:rsidRDefault="00991AC2" w:rsidP="00991AC2">
            <w:pPr>
              <w:autoSpaceDE w:val="0"/>
              <w:spacing w:after="0" w:line="240" w:lineRule="auto"/>
              <w:rPr>
                <w:rFonts w:ascii="Times New Roman" w:eastAsia="Times New Roman" w:hAnsi="Times New Roman" w:cs="Times New Roman"/>
                <w:sz w:val="18"/>
                <w:szCs w:val="18"/>
                <w:lang w:val="en-US"/>
              </w:rPr>
            </w:pPr>
            <w:r w:rsidRPr="00F64EE5">
              <w:rPr>
                <w:rFonts w:ascii="Times New Roman" w:hAnsi="Times New Roman" w:cs="Times New Roman"/>
                <w:b/>
                <w:sz w:val="18"/>
                <w:szCs w:val="18"/>
              </w:rPr>
              <w:t>Diversificarea și flexibilizarea serviciilor</w:t>
            </w:r>
            <w:r>
              <w:rPr>
                <w:rFonts w:ascii="Times New Roman" w:hAnsi="Times New Roman" w:cs="Times New Roman"/>
                <w:b/>
                <w:sz w:val="18"/>
                <w:szCs w:val="18"/>
              </w:rPr>
              <w:t xml:space="preserve"> de suport socio-educaţional</w:t>
            </w:r>
          </w:p>
        </w:tc>
        <w:tc>
          <w:tcPr>
            <w:tcW w:w="2159"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pacing w:after="0" w:line="240" w:lineRule="auto"/>
              <w:rPr>
                <w:rFonts w:ascii="Times New Roman" w:hAnsi="Times New Roman" w:cs="Times New Roman"/>
                <w:lang w:val="en-US"/>
              </w:rPr>
            </w:pPr>
            <w:r>
              <w:rPr>
                <w:rFonts w:ascii="Times New Roman" w:hAnsi="Times New Roman" w:cs="Times New Roman"/>
                <w:lang w:val="en-US"/>
              </w:rPr>
              <w:t>1.</w:t>
            </w:r>
            <w:r w:rsidRPr="00F64EE5">
              <w:rPr>
                <w:rFonts w:ascii="Times New Roman" w:hAnsi="Times New Roman" w:cs="Times New Roman"/>
                <w:lang w:val="en-US"/>
              </w:rPr>
              <w:t>Consiliile județene</w:t>
            </w:r>
          </w:p>
          <w:p w:rsidR="00F64EE5" w:rsidRPr="00F64EE5" w:rsidRDefault="00F64EE5" w:rsidP="00F64EE5">
            <w:pPr>
              <w:autoSpaceDE w:val="0"/>
              <w:spacing w:after="0" w:line="240" w:lineRule="auto"/>
              <w:rPr>
                <w:rFonts w:ascii="Times New Roman" w:hAnsi="Times New Roman" w:cs="Times New Roman"/>
                <w:lang w:val="en-US"/>
              </w:rPr>
            </w:pPr>
            <w:r>
              <w:rPr>
                <w:rFonts w:ascii="Times New Roman" w:hAnsi="Times New Roman" w:cs="Times New Roman"/>
                <w:lang w:val="en-US"/>
              </w:rPr>
              <w:t>2.</w:t>
            </w:r>
            <w:r w:rsidRPr="00F64EE5">
              <w:rPr>
                <w:rFonts w:ascii="Times New Roman" w:hAnsi="Times New Roman" w:cs="Times New Roman"/>
                <w:lang w:val="en-US"/>
              </w:rPr>
              <w:t>Partenerii eligibili sunt:</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Inspectoratul Școlar Județean (obligatoriu);</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Autorități ale administrației publice locale;</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Instituții de învățământ superior;</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Unități de învățământ acreditate, publice și private, din rețeaua școlară națională.</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Centrele Județene de Resurse și Asistență Educațională (CJRAE);</w:t>
            </w:r>
          </w:p>
          <w:p w:rsid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Furnizori privați de educație timpurie, inclusiv organizații neguvernamentale</w:t>
            </w:r>
          </w:p>
        </w:tc>
        <w:tc>
          <w:tcPr>
            <w:tcW w:w="4050" w:type="dxa"/>
            <w:tcBorders>
              <w:top w:val="single" w:sz="4" w:space="0" w:color="000000"/>
              <w:left w:val="single" w:sz="4" w:space="0" w:color="000000"/>
              <w:bottom w:val="single" w:sz="4" w:space="0" w:color="000000"/>
            </w:tcBorders>
            <w:shd w:val="clear" w:color="auto" w:fill="auto"/>
          </w:tcPr>
          <w:p w:rsidR="00F64EE5" w:rsidRDefault="00F64EE5" w:rsidP="00B7416F">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p w:rsidR="00F64EE5" w:rsidRDefault="00F64EE5" w:rsidP="00B7416F">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Se finanţează:</w:t>
            </w:r>
          </w:p>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Crearea cel puțin a unui serviciu standard/ complementar de educație, îngrijire și supraveghere, a copiilor de 3 luni- 6 ani (activitate obligatorie),</w:t>
            </w:r>
          </w:p>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Furnizarea serviciilor integrate de educație, îngrijire și supraveghere în cadrul serviciilor standard (crese/gradinite) sau complementare de educație timpurie înființate/extinse (activitate obligatorie)</w:t>
            </w:r>
          </w:p>
          <w:p w:rsidR="00F64EE5" w:rsidRPr="00A1317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Activități pentru stimularea participării la educația timpurie a copiilor cu statut socio-economic scăzut, de etnie romă, cu dizabilități/alte cerințe educaționale speciale, refugiați/imigranți și/sau alte categorii vulnerabile respectiv prevenirea abandonului (activitate obligatorie)</w:t>
            </w:r>
          </w:p>
        </w:tc>
        <w:tc>
          <w:tcPr>
            <w:tcW w:w="1620"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Valoarea minimă eligibilă a unui proiect este de 201.000 euro</w:t>
            </w:r>
          </w:p>
          <w:p w:rsidR="00F64EE5" w:rsidRPr="00E625D4" w:rsidRDefault="00F64EE5" w:rsidP="00F64EE5">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Valoarea maximă eligibilă a unui proiect nu poate depăși 7.814.851,40 euro.</w:t>
            </w:r>
          </w:p>
        </w:tc>
        <w:tc>
          <w:tcPr>
            <w:tcW w:w="1530"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r w:rsidRPr="00F64EE5">
              <w:rPr>
                <w:rFonts w:ascii="Times New Roman" w:eastAsia="Times New Roman" w:hAnsi="Times New Roman" w:cs="Times New Roman"/>
                <w:sz w:val="16"/>
                <w:szCs w:val="16"/>
                <w:lang w:val="en-US"/>
              </w:rPr>
              <w:t>Cofinanțarea se aplică în funcție de Beneficiarul eligibil, astfel:</w:t>
            </w:r>
          </w:p>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p>
          <w:p w:rsidR="00F64EE5" w:rsidRPr="00F64EE5" w:rsidRDefault="00F64EE5" w:rsidP="00F64EE5">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F64EE5">
              <w:rPr>
                <w:rFonts w:ascii="Times New Roman" w:eastAsia="Times New Roman" w:hAnsi="Times New Roman" w:cs="Times New Roman"/>
                <w:sz w:val="16"/>
                <w:szCs w:val="16"/>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F64EE5" w:rsidRPr="00412E5B" w:rsidRDefault="00F64EE5" w:rsidP="00F64EE5">
            <w:pPr>
              <w:autoSpaceDE w:val="0"/>
              <w:snapToGrid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6"/>
                <w:szCs w:val="16"/>
                <w:lang w:val="en-US"/>
              </w:rPr>
              <w:t>-</w:t>
            </w:r>
            <w:r w:rsidRPr="00F64EE5">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tc>
        <w:tc>
          <w:tcPr>
            <w:tcW w:w="1080" w:type="dxa"/>
            <w:tcBorders>
              <w:top w:val="single" w:sz="4" w:space="0" w:color="000000"/>
              <w:left w:val="single" w:sz="4" w:space="0" w:color="000000"/>
              <w:bottom w:val="single" w:sz="4" w:space="0" w:color="000000"/>
            </w:tcBorders>
            <w:shd w:val="clear" w:color="auto" w:fill="auto"/>
          </w:tcPr>
          <w:p w:rsidR="00F64EE5" w:rsidRPr="00F24B4C" w:rsidRDefault="00F64EE5" w:rsidP="00B7416F">
            <w:pPr>
              <w:autoSpaceDE w:val="0"/>
              <w:spacing w:after="0" w:line="240" w:lineRule="auto"/>
              <w:rPr>
                <w:rFonts w:ascii="Times New Roman" w:eastAsia="Times New Roman" w:hAnsi="Times New Roman" w:cs="Times New Roman"/>
                <w:sz w:val="18"/>
                <w:szCs w:val="18"/>
                <w:lang w:val="en-US"/>
              </w:rPr>
            </w:pPr>
            <w:r w:rsidRPr="00F64EE5">
              <w:rPr>
                <w:rFonts w:ascii="Times New Roman" w:eastAsia="Times New Roman" w:hAnsi="Times New Roman" w:cs="Times New Roman"/>
                <w:sz w:val="18"/>
                <w:szCs w:val="18"/>
                <w:lang w:val="en-US"/>
              </w:rPr>
              <w:t>10 Septembrie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F64EE5" w:rsidRDefault="00F64EE5" w:rsidP="00B7416F">
            <w:pPr>
              <w:autoSpaceDE w:val="0"/>
              <w:spacing w:after="0" w:line="240" w:lineRule="auto"/>
              <w:rPr>
                <w:color w:val="4F81BD" w:themeColor="accent1"/>
                <w:u w:val="single"/>
              </w:rPr>
            </w:pPr>
            <w:hyperlink r:id="rId12" w:history="1">
              <w:r w:rsidRPr="007D78AF">
                <w:rPr>
                  <w:rStyle w:val="Hyperlink"/>
                </w:rPr>
                <w:t>https://fonduri-structurale.ro/finantari/734/diversificarea-si-flexibilizarea-serviciilor-de-educatie-timpurie#</w:t>
              </w:r>
            </w:hyperlink>
            <w:r w:rsidRPr="00F64EE5">
              <w:rPr>
                <w:color w:val="4F81BD" w:themeColor="accent1"/>
                <w:u w:val="single"/>
              </w:rPr>
              <w:t>!</w:t>
            </w:r>
          </w:p>
          <w:p w:rsidR="00F64EE5" w:rsidRPr="00130D1D" w:rsidRDefault="00F64EE5" w:rsidP="00B7416F">
            <w:pPr>
              <w:autoSpaceDE w:val="0"/>
              <w:spacing w:after="0" w:line="240" w:lineRule="auto"/>
              <w:rPr>
                <w:color w:val="4F81BD" w:themeColor="accent1"/>
                <w:u w:val="single"/>
              </w:rPr>
            </w:pPr>
          </w:p>
        </w:tc>
      </w:tr>
    </w:tbl>
    <w:p w:rsidR="00666700" w:rsidRDefault="00666700" w:rsidP="00F746E3"/>
    <w:sectPr w:rsidR="00666700" w:rsidSect="007B3C58">
      <w:headerReference w:type="default" r:id="rId13"/>
      <w:footerReference w:type="default" r:id="rId14"/>
      <w:headerReference w:type="first" r:id="rId15"/>
      <w:footerReference w:type="first" r:id="rId16"/>
      <w:pgSz w:w="16838" w:h="11906" w:orient="landscape"/>
      <w:pgMar w:top="1702" w:right="1417" w:bottom="426" w:left="1417"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DDD" w:rsidRDefault="00DC2DDD">
      <w:pPr>
        <w:spacing w:after="0" w:line="240" w:lineRule="auto"/>
      </w:pPr>
      <w:r>
        <w:separator/>
      </w:r>
    </w:p>
  </w:endnote>
  <w:endnote w:type="continuationSeparator" w:id="1">
    <w:p w:rsidR="00DC2DDD" w:rsidRDefault="00DC2D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Footer"/>
      <w:jc w:val="center"/>
      <w:rPr>
        <w:rFonts w:ascii="Arial" w:hAnsi="Arial" w:cs="Arial"/>
        <w:sz w:val="20"/>
        <w:szCs w:val="20"/>
      </w:rPr>
    </w:pPr>
  </w:p>
  <w:p w:rsidR="00C1431E" w:rsidRDefault="00C1431E">
    <w:pPr>
      <w:pStyle w:val="Footer"/>
      <w:jc w:val="center"/>
      <w:rPr>
        <w:rFonts w:ascii="Arial" w:hAnsi="Arial" w:cs="Arial"/>
        <w:sz w:val="20"/>
        <w:szCs w:val="20"/>
      </w:rPr>
    </w:pPr>
  </w:p>
  <w:p w:rsidR="00C1431E" w:rsidRDefault="00C1431E">
    <w:pPr>
      <w:pStyle w:val="Footer"/>
      <w:jc w:val="center"/>
    </w:pPr>
    <w:r>
      <w:rPr>
        <w:rFonts w:ascii="Arial" w:hAnsi="Arial" w:cs="Arial"/>
        <w:sz w:val="20"/>
        <w:szCs w:val="20"/>
      </w:rPr>
      <w:tab/>
      <w:t>P-ţa 25 Octombrie, nr.1, 440026 - Satu Mare</w:t>
    </w:r>
  </w:p>
  <w:p w:rsidR="00C1431E" w:rsidRDefault="00C1431E">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sidR="004A6059">
      <w:rPr>
        <w:rFonts w:cs="Arial"/>
        <w:sz w:val="17"/>
        <w:szCs w:val="17"/>
      </w:rPr>
      <w:fldChar w:fldCharType="begin"/>
    </w:r>
    <w:r>
      <w:rPr>
        <w:rFonts w:cs="Arial"/>
        <w:sz w:val="17"/>
        <w:szCs w:val="17"/>
      </w:rPr>
      <w:instrText xml:space="preserve"> PAGE </w:instrText>
    </w:r>
    <w:r w:rsidR="004A6059">
      <w:rPr>
        <w:rFonts w:cs="Arial"/>
        <w:sz w:val="17"/>
        <w:szCs w:val="17"/>
      </w:rPr>
      <w:fldChar w:fldCharType="separate"/>
    </w:r>
    <w:r w:rsidR="00B51802">
      <w:rPr>
        <w:rFonts w:cs="Arial"/>
        <w:noProof/>
        <w:sz w:val="17"/>
        <w:szCs w:val="17"/>
      </w:rPr>
      <w:t>1</w:t>
    </w:r>
    <w:r w:rsidR="004A6059">
      <w:rPr>
        <w:rFonts w:cs="Arial"/>
        <w:sz w:val="17"/>
        <w:szCs w:val="17"/>
      </w:rPr>
      <w:fldChar w:fldCharType="end"/>
    </w:r>
  </w:p>
  <w:p w:rsidR="00C1431E" w:rsidRDefault="00C143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DDD" w:rsidRDefault="00DC2DDD">
      <w:pPr>
        <w:spacing w:after="0" w:line="240" w:lineRule="auto"/>
      </w:pPr>
      <w:r>
        <w:separator/>
      </w:r>
    </w:p>
  </w:footnote>
  <w:footnote w:type="continuationSeparator" w:id="1">
    <w:p w:rsidR="00DC2DDD" w:rsidRDefault="00DC2D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Header"/>
      <w:rPr>
        <w:szCs w:val="20"/>
        <w:lang w:val="en-US" w:eastAsia="en-US"/>
      </w:rPr>
    </w:pPr>
    <w:r>
      <w:rPr>
        <w:noProof/>
        <w:lang w:val="en-US" w:eastAsia="en-US" w:bidi="he-IL"/>
      </w:rPr>
      <w:drawing>
        <wp:anchor distT="0" distB="0" distL="114935" distR="114935" simplePos="0" relativeHeight="251657728" behindDoc="0" locked="0" layoutInCell="1" allowOverlap="1">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9938"/>
  </w:hdrShapeDefaults>
  <w:footnotePr>
    <w:footnote w:id="0"/>
    <w:footnote w:id="1"/>
  </w:footnotePr>
  <w:endnotePr>
    <w:endnote w:id="0"/>
    <w:endnote w:id="1"/>
  </w:endnotePr>
  <w:compat/>
  <w:rsids>
    <w:rsidRoot w:val="00B829DC"/>
    <w:rsid w:val="00012581"/>
    <w:rsid w:val="00037B02"/>
    <w:rsid w:val="000613B6"/>
    <w:rsid w:val="00077435"/>
    <w:rsid w:val="00092CAA"/>
    <w:rsid w:val="0009787E"/>
    <w:rsid w:val="000B17BF"/>
    <w:rsid w:val="000C5944"/>
    <w:rsid w:val="000D156B"/>
    <w:rsid w:val="000D680C"/>
    <w:rsid w:val="000F105D"/>
    <w:rsid w:val="000F39C6"/>
    <w:rsid w:val="00103A9B"/>
    <w:rsid w:val="0013434D"/>
    <w:rsid w:val="00154427"/>
    <w:rsid w:val="001751C1"/>
    <w:rsid w:val="00175820"/>
    <w:rsid w:val="00194D64"/>
    <w:rsid w:val="001959C6"/>
    <w:rsid w:val="001967BB"/>
    <w:rsid w:val="001C5575"/>
    <w:rsid w:val="001F2B97"/>
    <w:rsid w:val="00203D96"/>
    <w:rsid w:val="0023185D"/>
    <w:rsid w:val="00252215"/>
    <w:rsid w:val="002702B1"/>
    <w:rsid w:val="00293673"/>
    <w:rsid w:val="002A5D9B"/>
    <w:rsid w:val="002D42D3"/>
    <w:rsid w:val="003118F4"/>
    <w:rsid w:val="003225BE"/>
    <w:rsid w:val="00322824"/>
    <w:rsid w:val="00323671"/>
    <w:rsid w:val="0032560E"/>
    <w:rsid w:val="00334178"/>
    <w:rsid w:val="00364EBC"/>
    <w:rsid w:val="00373EAF"/>
    <w:rsid w:val="00384659"/>
    <w:rsid w:val="003E4071"/>
    <w:rsid w:val="003E4B67"/>
    <w:rsid w:val="003F750E"/>
    <w:rsid w:val="00412E5B"/>
    <w:rsid w:val="004150B7"/>
    <w:rsid w:val="00425E22"/>
    <w:rsid w:val="004277C6"/>
    <w:rsid w:val="00444F49"/>
    <w:rsid w:val="0045294B"/>
    <w:rsid w:val="00467D9A"/>
    <w:rsid w:val="004721D0"/>
    <w:rsid w:val="00473166"/>
    <w:rsid w:val="0047438F"/>
    <w:rsid w:val="00481A35"/>
    <w:rsid w:val="004A6059"/>
    <w:rsid w:val="004B4D59"/>
    <w:rsid w:val="0050176C"/>
    <w:rsid w:val="0051025D"/>
    <w:rsid w:val="00513401"/>
    <w:rsid w:val="00515311"/>
    <w:rsid w:val="0053482E"/>
    <w:rsid w:val="00542C19"/>
    <w:rsid w:val="00552CE0"/>
    <w:rsid w:val="00555EAF"/>
    <w:rsid w:val="00556690"/>
    <w:rsid w:val="00574E9E"/>
    <w:rsid w:val="005A7381"/>
    <w:rsid w:val="005C158B"/>
    <w:rsid w:val="005C55A1"/>
    <w:rsid w:val="005D5269"/>
    <w:rsid w:val="005D5FE4"/>
    <w:rsid w:val="005E1DE4"/>
    <w:rsid w:val="005F6C02"/>
    <w:rsid w:val="00607369"/>
    <w:rsid w:val="00635AB3"/>
    <w:rsid w:val="00642E6B"/>
    <w:rsid w:val="0064661F"/>
    <w:rsid w:val="00655ADF"/>
    <w:rsid w:val="00656E04"/>
    <w:rsid w:val="00666700"/>
    <w:rsid w:val="006706CC"/>
    <w:rsid w:val="00674C8A"/>
    <w:rsid w:val="00677E6D"/>
    <w:rsid w:val="00684EBC"/>
    <w:rsid w:val="006856C8"/>
    <w:rsid w:val="00690BFC"/>
    <w:rsid w:val="006B20EF"/>
    <w:rsid w:val="006E09DD"/>
    <w:rsid w:val="006E5C5E"/>
    <w:rsid w:val="006E68D0"/>
    <w:rsid w:val="006E7D0E"/>
    <w:rsid w:val="00701B60"/>
    <w:rsid w:val="00731AE9"/>
    <w:rsid w:val="0073325D"/>
    <w:rsid w:val="00735812"/>
    <w:rsid w:val="00755DBB"/>
    <w:rsid w:val="00757780"/>
    <w:rsid w:val="00762A48"/>
    <w:rsid w:val="0077147A"/>
    <w:rsid w:val="00773477"/>
    <w:rsid w:val="007744AA"/>
    <w:rsid w:val="00795942"/>
    <w:rsid w:val="007B1828"/>
    <w:rsid w:val="007B3C58"/>
    <w:rsid w:val="007C69C8"/>
    <w:rsid w:val="00815A51"/>
    <w:rsid w:val="00817AA3"/>
    <w:rsid w:val="00822E74"/>
    <w:rsid w:val="00840481"/>
    <w:rsid w:val="00871A5A"/>
    <w:rsid w:val="00877274"/>
    <w:rsid w:val="008910BC"/>
    <w:rsid w:val="0089413B"/>
    <w:rsid w:val="008B178F"/>
    <w:rsid w:val="008B2B18"/>
    <w:rsid w:val="008D5281"/>
    <w:rsid w:val="008E533D"/>
    <w:rsid w:val="008F36FA"/>
    <w:rsid w:val="008F551C"/>
    <w:rsid w:val="009037B8"/>
    <w:rsid w:val="0090531F"/>
    <w:rsid w:val="00907114"/>
    <w:rsid w:val="00932900"/>
    <w:rsid w:val="009358C8"/>
    <w:rsid w:val="00946A42"/>
    <w:rsid w:val="00946FE0"/>
    <w:rsid w:val="00952549"/>
    <w:rsid w:val="00955210"/>
    <w:rsid w:val="00986EC6"/>
    <w:rsid w:val="00991AC2"/>
    <w:rsid w:val="009A68A1"/>
    <w:rsid w:val="009B1336"/>
    <w:rsid w:val="009B7FE1"/>
    <w:rsid w:val="009C0FB7"/>
    <w:rsid w:val="009E51A3"/>
    <w:rsid w:val="00A05670"/>
    <w:rsid w:val="00A05A50"/>
    <w:rsid w:val="00A3397A"/>
    <w:rsid w:val="00A47FC9"/>
    <w:rsid w:val="00A51D70"/>
    <w:rsid w:val="00A86C00"/>
    <w:rsid w:val="00A92E93"/>
    <w:rsid w:val="00AA7E7F"/>
    <w:rsid w:val="00AB13BF"/>
    <w:rsid w:val="00AB59C3"/>
    <w:rsid w:val="00AB6ABA"/>
    <w:rsid w:val="00B075FA"/>
    <w:rsid w:val="00B156FF"/>
    <w:rsid w:val="00B51802"/>
    <w:rsid w:val="00B52EA0"/>
    <w:rsid w:val="00B829DC"/>
    <w:rsid w:val="00BA3A93"/>
    <w:rsid w:val="00BE0A26"/>
    <w:rsid w:val="00BE72E2"/>
    <w:rsid w:val="00C071E7"/>
    <w:rsid w:val="00C1431E"/>
    <w:rsid w:val="00C36F04"/>
    <w:rsid w:val="00C6587F"/>
    <w:rsid w:val="00C744CB"/>
    <w:rsid w:val="00C7746A"/>
    <w:rsid w:val="00C81D4D"/>
    <w:rsid w:val="00C929BA"/>
    <w:rsid w:val="00CC39D5"/>
    <w:rsid w:val="00CF2107"/>
    <w:rsid w:val="00CF6901"/>
    <w:rsid w:val="00D4415B"/>
    <w:rsid w:val="00D6706D"/>
    <w:rsid w:val="00D6708D"/>
    <w:rsid w:val="00D72AC8"/>
    <w:rsid w:val="00DA47AF"/>
    <w:rsid w:val="00DC0933"/>
    <w:rsid w:val="00DC2DDD"/>
    <w:rsid w:val="00DD251C"/>
    <w:rsid w:val="00E060C2"/>
    <w:rsid w:val="00E2213D"/>
    <w:rsid w:val="00E34AEB"/>
    <w:rsid w:val="00E36837"/>
    <w:rsid w:val="00E41F22"/>
    <w:rsid w:val="00E67EAA"/>
    <w:rsid w:val="00E75F8A"/>
    <w:rsid w:val="00E80796"/>
    <w:rsid w:val="00ED0BAB"/>
    <w:rsid w:val="00ED7065"/>
    <w:rsid w:val="00EE7602"/>
    <w:rsid w:val="00EF43A8"/>
    <w:rsid w:val="00F02AD1"/>
    <w:rsid w:val="00F04B79"/>
    <w:rsid w:val="00F12271"/>
    <w:rsid w:val="00F12C9A"/>
    <w:rsid w:val="00F210E7"/>
    <w:rsid w:val="00F33BA0"/>
    <w:rsid w:val="00F36E2D"/>
    <w:rsid w:val="00F5157C"/>
    <w:rsid w:val="00F60A23"/>
    <w:rsid w:val="00F640D4"/>
    <w:rsid w:val="00F64EE5"/>
    <w:rsid w:val="00F733F3"/>
    <w:rsid w:val="00F746E3"/>
    <w:rsid w:val="00F851D3"/>
    <w:rsid w:val="00FA099A"/>
    <w:rsid w:val="00FC2CC0"/>
    <w:rsid w:val="00FE1001"/>
    <w:rsid w:val="00FE7AAE"/>
    <w:rsid w:val="00FE7BC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s>
</file>

<file path=word/webSettings.xml><?xml version="1.0" encoding="utf-8"?>
<w:webSettings xmlns:r="http://schemas.openxmlformats.org/officeDocument/2006/relationships" xmlns:w="http://schemas.openxmlformats.org/wordprocessingml/2006/main">
  <w:divs>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ems-roua.mdlpa.ro/no-auth/login?ref=%2Fapp%2Fdashboar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nduri-structurale.ro/finantari/734/diversificarea-si-flexibilizarea-serviciilor-de-educatie-timpur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alte-finantari/867/programul-rabla-plus-202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onduri-structurale.ro/alte-finantari/866/programul-rabla-clasic-2024" TargetMode="External"/><Relationship Id="rId4" Type="http://schemas.openxmlformats.org/officeDocument/2006/relationships/settings" Target="settings.xml"/><Relationship Id="rId9" Type="http://schemas.openxmlformats.org/officeDocument/2006/relationships/hyperlink" Target="https://ro-ua.net/ro/comunicare-2021-2027/noutati-2021-2027/1577-apel2-deschis-pentru-proiecte-standar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C64D-AE39-443E-BB48-85126129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Paul</cp:lastModifiedBy>
  <cp:revision>3</cp:revision>
  <cp:lastPrinted>1601-01-01T00:00:00Z</cp:lastPrinted>
  <dcterms:created xsi:type="dcterms:W3CDTF">2024-07-02T10:51:00Z</dcterms:created>
  <dcterms:modified xsi:type="dcterms:W3CDTF">2024-07-02T12:06:00Z</dcterms:modified>
</cp:coreProperties>
</file>