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6700" w:rsidRDefault="00666700">
      <w:pPr>
        <w:spacing w:after="0" w:line="240" w:lineRule="auto"/>
        <w:jc w:val="center"/>
      </w:pPr>
      <w:r>
        <w:rPr>
          <w:rFonts w:ascii="Times New Roman" w:hAnsi="Times New Roman" w:cs="Times New Roman"/>
          <w:b/>
          <w:sz w:val="28"/>
          <w:szCs w:val="28"/>
        </w:rPr>
        <w:t>BULETIN INFORMATIV PRIVIND FINANŢĂRILE DISPONIBILE</w:t>
      </w:r>
    </w:p>
    <w:p w:rsidR="00666700" w:rsidRDefault="00F029D9" w:rsidP="00F029D9">
      <w:pPr>
        <w:spacing w:after="0" w:line="240" w:lineRule="auto"/>
        <w:jc w:val="center"/>
      </w:pPr>
      <w:r>
        <w:rPr>
          <w:rFonts w:ascii="Times New Roman" w:hAnsi="Times New Roman" w:cs="Times New Roman"/>
          <w:b/>
          <w:sz w:val="28"/>
          <w:szCs w:val="28"/>
        </w:rPr>
        <w:t>A</w:t>
      </w:r>
      <w:r w:rsidR="00012581">
        <w:rPr>
          <w:rFonts w:ascii="Times New Roman" w:hAnsi="Times New Roman" w:cs="Times New Roman"/>
          <w:b/>
          <w:sz w:val="28"/>
          <w:szCs w:val="28"/>
        </w:rPr>
        <w:t>U</w:t>
      </w:r>
      <w:r>
        <w:rPr>
          <w:rFonts w:ascii="Times New Roman" w:hAnsi="Times New Roman" w:cs="Times New Roman"/>
          <w:b/>
          <w:sz w:val="28"/>
          <w:szCs w:val="28"/>
        </w:rPr>
        <w:t>GUST</w:t>
      </w:r>
      <w:r w:rsidR="0073325D">
        <w:rPr>
          <w:rFonts w:ascii="Times New Roman" w:hAnsi="Times New Roman" w:cs="Times New Roman"/>
          <w:b/>
          <w:sz w:val="28"/>
          <w:szCs w:val="28"/>
        </w:rPr>
        <w:t xml:space="preserve">  </w:t>
      </w:r>
      <w:r w:rsidR="00666700">
        <w:rPr>
          <w:rFonts w:ascii="Times New Roman" w:hAnsi="Times New Roman" w:cs="Times New Roman"/>
          <w:b/>
          <w:sz w:val="28"/>
          <w:szCs w:val="28"/>
        </w:rPr>
        <w:t>202</w:t>
      </w:r>
      <w:r w:rsidR="00175820">
        <w:rPr>
          <w:rFonts w:ascii="Times New Roman" w:hAnsi="Times New Roman" w:cs="Times New Roman"/>
          <w:b/>
          <w:sz w:val="28"/>
          <w:szCs w:val="28"/>
        </w:rPr>
        <w:t>4</w:t>
      </w:r>
    </w:p>
    <w:p w:rsidR="00666700" w:rsidRDefault="00666700">
      <w:pPr>
        <w:spacing w:after="0" w:line="240" w:lineRule="auto"/>
      </w:pPr>
    </w:p>
    <w:tbl>
      <w:tblPr>
        <w:tblW w:w="15573" w:type="dxa"/>
        <w:tblInd w:w="-930" w:type="dxa"/>
        <w:tblLayout w:type="fixed"/>
        <w:tblLook w:val="0000"/>
      </w:tblPr>
      <w:tblGrid>
        <w:gridCol w:w="1558"/>
        <w:gridCol w:w="1953"/>
        <w:gridCol w:w="2159"/>
        <w:gridCol w:w="4050"/>
        <w:gridCol w:w="1620"/>
        <w:gridCol w:w="1530"/>
        <w:gridCol w:w="1080"/>
        <w:gridCol w:w="1623"/>
      </w:tblGrid>
      <w:tr w:rsidR="00666700" w:rsidTr="00203D96">
        <w:trPr>
          <w:trHeight w:val="645"/>
        </w:trPr>
        <w:tc>
          <w:tcPr>
            <w:tcW w:w="1558"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Program de finanţare</w:t>
            </w:r>
          </w:p>
        </w:tc>
        <w:tc>
          <w:tcPr>
            <w:tcW w:w="1953"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Obiectivul programului</w:t>
            </w:r>
          </w:p>
        </w:tc>
        <w:tc>
          <w:tcPr>
            <w:tcW w:w="2159"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Solicitanţi eligibili</w:t>
            </w:r>
          </w:p>
        </w:tc>
        <w:tc>
          <w:tcPr>
            <w:tcW w:w="405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Activităţi eligibile</w:t>
            </w:r>
          </w:p>
        </w:tc>
        <w:tc>
          <w:tcPr>
            <w:tcW w:w="162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Valoarea finanţării</w:t>
            </w:r>
          </w:p>
        </w:tc>
        <w:tc>
          <w:tcPr>
            <w:tcW w:w="153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Contribuţia beneficiarului</w:t>
            </w:r>
          </w:p>
        </w:tc>
        <w:tc>
          <w:tcPr>
            <w:tcW w:w="108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Termen limită</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66700" w:rsidRDefault="00666700">
            <w:r>
              <w:t>https://www.fonduri</w:t>
            </w:r>
          </w:p>
        </w:tc>
      </w:tr>
      <w:tr w:rsidR="00C81D4D" w:rsidTr="00F029D9">
        <w:trPr>
          <w:cantSplit/>
          <w:trHeight w:val="6514"/>
        </w:trPr>
        <w:tc>
          <w:tcPr>
            <w:tcW w:w="1558" w:type="dxa"/>
            <w:tcBorders>
              <w:top w:val="single" w:sz="4" w:space="0" w:color="000000"/>
              <w:left w:val="single" w:sz="4" w:space="0" w:color="000000"/>
              <w:bottom w:val="single" w:sz="4" w:space="0" w:color="000000"/>
            </w:tcBorders>
            <w:shd w:val="clear" w:color="auto" w:fill="auto"/>
          </w:tcPr>
          <w:p w:rsidR="00B64861" w:rsidRDefault="00B64861" w:rsidP="00B64861">
            <w:pPr>
              <w:autoSpaceDE w:val="0"/>
              <w:spacing w:after="0" w:line="240" w:lineRule="auto"/>
            </w:pPr>
            <w:r>
              <w:rPr>
                <w:rFonts w:ascii="Times New Roman" w:hAnsi="Times New Roman" w:cs="Times New Roman"/>
                <w:b/>
                <w:sz w:val="18"/>
                <w:szCs w:val="18"/>
              </w:rPr>
              <w:t>Guvernul</w:t>
            </w:r>
          </w:p>
          <w:p w:rsidR="00B64861" w:rsidRDefault="00B64861" w:rsidP="00B64861">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B64861" w:rsidRDefault="00B64861" w:rsidP="00B64861">
            <w:pPr>
              <w:autoSpaceDE w:val="0"/>
              <w:spacing w:after="0" w:line="240" w:lineRule="auto"/>
              <w:rPr>
                <w:rFonts w:ascii="Times New Roman" w:hAnsi="Times New Roman" w:cs="Times New Roman"/>
                <w:b/>
                <w:sz w:val="18"/>
                <w:szCs w:val="18"/>
              </w:rPr>
            </w:pPr>
          </w:p>
          <w:p w:rsidR="00B64861" w:rsidRDefault="00B64861" w:rsidP="00B64861">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B64861" w:rsidRPr="00907114" w:rsidRDefault="00B64861" w:rsidP="00B64861">
            <w:pPr>
              <w:autoSpaceDE w:val="0"/>
              <w:spacing w:after="0" w:line="240" w:lineRule="auto"/>
              <w:rPr>
                <w:rFonts w:ascii="Times New Roman" w:hAnsi="Times New Roman" w:cs="Times New Roman"/>
                <w:b/>
                <w:sz w:val="18"/>
                <w:szCs w:val="18"/>
              </w:rPr>
            </w:pPr>
          </w:p>
          <w:p w:rsidR="000E3C01" w:rsidRDefault="000E3C01" w:rsidP="00B64861">
            <w:pPr>
              <w:autoSpaceDE w:val="0"/>
              <w:spacing w:after="0" w:line="240" w:lineRule="auto"/>
              <w:rPr>
                <w:rFonts w:ascii="Times New Roman" w:hAnsi="Times New Roman" w:cs="Times New Roman"/>
                <w:b/>
                <w:sz w:val="18"/>
                <w:szCs w:val="18"/>
              </w:rPr>
            </w:pPr>
            <w:r w:rsidRPr="000E3C01">
              <w:rPr>
                <w:rFonts w:ascii="Times New Roman" w:hAnsi="Times New Roman" w:cs="Times New Roman"/>
                <w:b/>
                <w:sz w:val="18"/>
                <w:szCs w:val="18"/>
              </w:rPr>
              <w:t>Creșterea eficienței energetice în regiune ca parte a investițiilor în sectorul locuințelor</w:t>
            </w:r>
            <w:r>
              <w:rPr>
                <w:rFonts w:ascii="Times New Roman" w:hAnsi="Times New Roman" w:cs="Times New Roman"/>
                <w:b/>
                <w:sz w:val="18"/>
                <w:szCs w:val="18"/>
              </w:rPr>
              <w:t xml:space="preserve"> </w:t>
            </w:r>
          </w:p>
          <w:p w:rsidR="00C81D4D" w:rsidRPr="001751C1" w:rsidRDefault="00B64861" w:rsidP="000E3C01">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Apel:  PRNV/2023/31</w:t>
            </w:r>
            <w:r w:rsidR="000E3C01">
              <w:rPr>
                <w:rFonts w:ascii="Times New Roman" w:hAnsi="Times New Roman" w:cs="Times New Roman"/>
                <w:b/>
                <w:sz w:val="18"/>
                <w:szCs w:val="18"/>
              </w:rPr>
              <w:t>1.</w:t>
            </w:r>
            <w:r w:rsidRPr="00203D96">
              <w:rPr>
                <w:rFonts w:ascii="Times New Roman" w:hAnsi="Times New Roman" w:cs="Times New Roman"/>
                <w:b/>
                <w:sz w:val="18"/>
                <w:szCs w:val="18"/>
              </w:rPr>
              <w:t>A/1</w:t>
            </w:r>
          </w:p>
        </w:tc>
        <w:tc>
          <w:tcPr>
            <w:tcW w:w="1953" w:type="dxa"/>
            <w:tcBorders>
              <w:top w:val="single" w:sz="4" w:space="0" w:color="000000"/>
              <w:left w:val="single" w:sz="4" w:space="0" w:color="000000"/>
              <w:bottom w:val="single" w:sz="4" w:space="0" w:color="000000"/>
            </w:tcBorders>
            <w:shd w:val="clear" w:color="auto" w:fill="auto"/>
          </w:tcPr>
          <w:p w:rsidR="00C81D4D" w:rsidRPr="00100066" w:rsidRDefault="000E3C01" w:rsidP="00B562E5">
            <w:pPr>
              <w:autoSpaceDE w:val="0"/>
              <w:spacing w:after="0" w:line="240" w:lineRule="auto"/>
              <w:rPr>
                <w:rFonts w:ascii="Times New Roman" w:eastAsia="Times New Roman" w:hAnsi="Times New Roman" w:cs="Times New Roman"/>
                <w:sz w:val="20"/>
                <w:szCs w:val="20"/>
                <w:lang w:val="en-US"/>
              </w:rPr>
            </w:pPr>
            <w:r w:rsidRPr="00100066">
              <w:rPr>
                <w:rFonts w:ascii="Times New Roman" w:eastAsia="Times New Roman" w:hAnsi="Times New Roman" w:cs="Times New Roman"/>
                <w:sz w:val="20"/>
                <w:szCs w:val="20"/>
                <w:lang w:val="en-US"/>
              </w:rPr>
              <w:t>Apelul de proiecte vizează creșterea eficienței energetice în clădirile rezidențiale din Regiunea de Dezvoltare Nord-Vest, oferind sprijin financiar sub formă de granturi, având ca obiectiv specific promovarea măsurilor de eficiență energetică și reducerea emisiilor de gaze cu efect de seră.</w:t>
            </w:r>
          </w:p>
        </w:tc>
        <w:tc>
          <w:tcPr>
            <w:tcW w:w="2159" w:type="dxa"/>
            <w:tcBorders>
              <w:top w:val="single" w:sz="4" w:space="0" w:color="000000"/>
              <w:left w:val="single" w:sz="4" w:space="0" w:color="000000"/>
              <w:bottom w:val="single" w:sz="4" w:space="0" w:color="000000"/>
            </w:tcBorders>
            <w:shd w:val="clear" w:color="auto" w:fill="auto"/>
          </w:tcPr>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1.</w:t>
            </w:r>
            <w:r w:rsidRPr="000E3C01">
              <w:rPr>
                <w:rFonts w:ascii="Times New Roman" w:hAnsi="Times New Roman" w:cs="Times New Roman"/>
                <w:sz w:val="16"/>
                <w:szCs w:val="16"/>
                <w:lang w:val="en-US"/>
              </w:rPr>
              <w:t>Unitățile Administrativ-Teritoriale oraș și municipiu (inclusiv municipiu reședință de județ)</w:t>
            </w:r>
          </w:p>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2.</w:t>
            </w:r>
            <w:r w:rsidRPr="000E3C01">
              <w:rPr>
                <w:rFonts w:ascii="Times New Roman" w:hAnsi="Times New Roman" w:cs="Times New Roman"/>
                <w:sz w:val="16"/>
                <w:szCs w:val="16"/>
                <w:lang w:val="en-US"/>
              </w:rPr>
              <w:t>Unitățile Administrativ-Teritoriale comună din componența Zonelor Urbane Funcționale (ZUF) aferente municipiilor reședință de județ, limitrofe acestora, din cele 6 județe ale regiunii de Nord-Vest, respectiv Oradea, Bistrița, Cluj-Napoca, Baia Mare, Satu Mare, Zalău.</w:t>
            </w:r>
          </w:p>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3.</w:t>
            </w:r>
            <w:r w:rsidRPr="000E3C01">
              <w:rPr>
                <w:rFonts w:ascii="Times New Roman" w:hAnsi="Times New Roman" w:cs="Times New Roman"/>
                <w:sz w:val="16"/>
                <w:szCs w:val="16"/>
                <w:lang w:val="en-US"/>
              </w:rPr>
              <w:t>Parteneriate între:</w:t>
            </w:r>
          </w:p>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O Unitate Administrativ-Teritorială eligibilă si Societățile comerciale înregistrate în baza Legii nr. 31/1990, care se încadrează în categoria IMM-urilor (calitatea de IMM trebuie să existe la data acordării ajutorului).</w:t>
            </w:r>
          </w:p>
          <w:p w:rsidR="00C81D4D" w:rsidRPr="00EF43A8" w:rsidRDefault="000E3C01" w:rsidP="000E3C01">
            <w:pPr>
              <w:autoSpaceDE w:val="0"/>
              <w:spacing w:after="0" w:line="240" w:lineRule="auto"/>
              <w:rPr>
                <w:rFonts w:ascii="Times New Roman" w:hAnsi="Times New Roman" w:cs="Times New Roman"/>
                <w:sz w:val="18"/>
                <w:szCs w:val="18"/>
                <w:lang w:val="en-US"/>
              </w:rPr>
            </w:pPr>
            <w:r w:rsidRPr="000E3C01">
              <w:rPr>
                <w:rFonts w:ascii="Times New Roman" w:hAnsi="Times New Roman" w:cs="Times New Roman"/>
                <w:sz w:val="16"/>
                <w:szCs w:val="16"/>
                <w:lang w:val="en-US"/>
              </w:rPr>
              <w:t>Pentru a fi eligibil, solicitantul trebuie să încheie un contract cu Asociaţia/Asociaţiile de proprietari pentru depunerea şi derularea proiectului.</w:t>
            </w:r>
          </w:p>
        </w:tc>
        <w:tc>
          <w:tcPr>
            <w:tcW w:w="4050" w:type="dxa"/>
            <w:tcBorders>
              <w:top w:val="single" w:sz="4" w:space="0" w:color="000000"/>
              <w:left w:val="single" w:sz="4" w:space="0" w:color="000000"/>
              <w:bottom w:val="single" w:sz="4" w:space="0" w:color="000000"/>
            </w:tcBorders>
            <w:shd w:val="clear" w:color="auto" w:fill="auto"/>
          </w:tcPr>
          <w:p w:rsidR="000E3C01" w:rsidRPr="000E3C01" w:rsidRDefault="000E3C01" w:rsidP="000E3C01">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0E3C01">
              <w:rPr>
                <w:rFonts w:ascii="Times New Roman" w:hAnsi="Times New Roman" w:cs="Times New Roman"/>
                <w:sz w:val="18"/>
                <w:szCs w:val="18"/>
                <w:lang w:val="en-US"/>
              </w:rPr>
              <w:t>Măsuri de creștere a eficienței energetice în clădiri rezidențiale (blocuri de locuințe)</w:t>
            </w:r>
            <w:r>
              <w:rPr>
                <w:rFonts w:ascii="Times New Roman" w:hAnsi="Times New Roman" w:cs="Times New Roman"/>
                <w:sz w:val="18"/>
                <w:szCs w:val="18"/>
                <w:lang w:val="en-US"/>
              </w:rPr>
              <w:t>:</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de reabilitare termică a elementelor de anvelopă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de reabilitare/modernizare a sistemului de încălzire/ a sistemului de furnizare a apei calde de consum, precum și înlocuirea echipamentelor existente și racordarea la un sistem de încălzire centralizată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Lucrările de reabilitate/modernizare a sistemelor de ventilare naturală sau mecanică, inclusiv prin înlocuirea echipamentelor existente</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ce vizează instalarea unor sisteme alternative de producere a energiei electrice și/sau termice din surse regenerabile, pentru consum propriu, inclusiv achiziționarea de echipamente specifice</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Înlocuirea corpurilor de iluminat fluorescente/incandescente din spațiile comune cu corpuri de iluminat cu eficiență energetică ridicată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Sisteme de management energetic integrat pentru clădiri (inclusiv activități care conduc la realizarea obiectivelor proiectului, inclusiv activități necesare pregătirii clădirilor pentru soluții inteligente)</w:t>
            </w:r>
          </w:p>
          <w:p w:rsidR="00EF43A8" w:rsidRPr="00EF43A8" w:rsidRDefault="000E3C01" w:rsidP="000E3C01">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0E3C01">
              <w:rPr>
                <w:rFonts w:ascii="Times New Roman" w:hAnsi="Times New Roman" w:cs="Times New Roman"/>
                <w:sz w:val="18"/>
                <w:szCs w:val="18"/>
                <w:lang w:val="en-US"/>
              </w:rPr>
              <w:t>Măsuri conexe care contribuie la implementarea proiectului - sunt eligibile în proporție de maxim 15% din valoarea totală eligibilă</w:t>
            </w:r>
          </w:p>
          <w:p w:rsidR="00C81D4D" w:rsidRPr="00EF43A8" w:rsidRDefault="00C81D4D" w:rsidP="00EF43A8">
            <w:pPr>
              <w:autoSpaceDE w:val="0"/>
              <w:snapToGrid w:val="0"/>
              <w:spacing w:after="0" w:line="240" w:lineRule="auto"/>
              <w:rPr>
                <w:rFonts w:ascii="Times New Roman" w:hAnsi="Times New Roman" w:cs="Times New Roman"/>
                <w:sz w:val="16"/>
                <w:szCs w:val="16"/>
                <w:lang w:val="en-US"/>
              </w:rPr>
            </w:pPr>
          </w:p>
        </w:tc>
        <w:tc>
          <w:tcPr>
            <w:tcW w:w="1620" w:type="dxa"/>
            <w:tcBorders>
              <w:top w:val="single" w:sz="4" w:space="0" w:color="000000"/>
              <w:left w:val="single" w:sz="4" w:space="0" w:color="000000"/>
              <w:bottom w:val="single" w:sz="4" w:space="0" w:color="000000"/>
            </w:tcBorders>
            <w:shd w:val="clear" w:color="auto" w:fill="auto"/>
          </w:tcPr>
          <w:p w:rsidR="000E3C01" w:rsidRDefault="000E3C01" w:rsidP="00F029D9">
            <w:pPr>
              <w:autoSpaceDE w:val="0"/>
              <w:spacing w:after="0" w:line="240" w:lineRule="auto"/>
              <w:rPr>
                <w:rFonts w:ascii="Times New Roman" w:eastAsia="Times New Roman" w:hAnsi="Times New Roman" w:cs="Times New Roman"/>
                <w:sz w:val="20"/>
                <w:szCs w:val="20"/>
                <w:lang w:val="en-US"/>
              </w:rPr>
            </w:pPr>
            <w:r w:rsidRPr="000E3C01">
              <w:rPr>
                <w:rFonts w:ascii="Times New Roman" w:eastAsia="Times New Roman" w:hAnsi="Times New Roman" w:cs="Times New Roman"/>
                <w:sz w:val="20"/>
                <w:szCs w:val="20"/>
                <w:lang w:val="en-US"/>
              </w:rPr>
              <w:t>Valoarea minimă eligibilă a unui proiect este de 200.000,00 Euro, iar valoarea maximă eligibilă a unui proiect este de 5.000.000,00 Euro.</w:t>
            </w:r>
          </w:p>
          <w:p w:rsidR="00F029D9" w:rsidRPr="000E3C01" w:rsidRDefault="00F029D9" w:rsidP="00F029D9">
            <w:pPr>
              <w:autoSpaceDE w:val="0"/>
              <w:spacing w:after="0" w:line="240" w:lineRule="auto"/>
              <w:rPr>
                <w:rFonts w:ascii="Times New Roman" w:eastAsia="Times New Roman" w:hAnsi="Times New Roman" w:cs="Times New Roman"/>
                <w:sz w:val="20"/>
                <w:szCs w:val="20"/>
                <w:lang w:val="en-US"/>
              </w:rPr>
            </w:pPr>
          </w:p>
          <w:p w:rsidR="000E3C01" w:rsidRPr="000E3C01" w:rsidRDefault="000E3C01" w:rsidP="000E3C01">
            <w:pPr>
              <w:autoSpaceDE w:val="0"/>
              <w:spacing w:after="0" w:line="240" w:lineRule="auto"/>
              <w:rPr>
                <w:rFonts w:ascii="Times New Roman" w:eastAsia="Times New Roman" w:hAnsi="Times New Roman" w:cs="Times New Roman"/>
                <w:sz w:val="16"/>
                <w:szCs w:val="16"/>
                <w:lang w:val="en-US"/>
              </w:rPr>
            </w:pPr>
            <w:r w:rsidRPr="000E3C01">
              <w:rPr>
                <w:rFonts w:ascii="Times New Roman" w:eastAsia="Times New Roman" w:hAnsi="Times New Roman" w:cs="Times New Roman"/>
                <w:sz w:val="16"/>
                <w:szCs w:val="16"/>
                <w:lang w:val="en-US"/>
              </w:rPr>
              <w:t xml:space="preserve">Valoarea ajutorului de minimis acordat unei entități eligibile este de maxim 100.000 Euro, echivalent în lei la cursul de schimb InforEuro în vigoare la data semnării contractului de finanțare </w:t>
            </w:r>
            <w:r>
              <w:rPr>
                <w:rFonts w:ascii="Times New Roman" w:eastAsia="Times New Roman" w:hAnsi="Times New Roman" w:cs="Times New Roman"/>
                <w:sz w:val="16"/>
                <w:szCs w:val="16"/>
                <w:lang w:val="en-US"/>
              </w:rPr>
              <w:t>.</w:t>
            </w:r>
          </w:p>
          <w:p w:rsidR="00C81D4D" w:rsidRPr="00ED7065" w:rsidRDefault="000E3C01" w:rsidP="000E3C01">
            <w:pPr>
              <w:autoSpaceDE w:val="0"/>
              <w:spacing w:after="0" w:line="240" w:lineRule="auto"/>
              <w:rPr>
                <w:rFonts w:ascii="Times New Roman" w:eastAsia="Times New Roman" w:hAnsi="Times New Roman" w:cs="Times New Roman"/>
                <w:sz w:val="18"/>
                <w:szCs w:val="18"/>
                <w:lang w:val="en-US"/>
              </w:rPr>
            </w:pPr>
            <w:r w:rsidRPr="000E3C01">
              <w:rPr>
                <w:rFonts w:ascii="Times New Roman" w:eastAsia="Times New Roman" w:hAnsi="Times New Roman" w:cs="Times New Roman"/>
                <w:sz w:val="16"/>
                <w:szCs w:val="16"/>
                <w:lang w:val="en-US"/>
              </w:rPr>
              <w:t>În vederea accesării ajutoarelor de minimis, este obligatoriu ca blocul propus pentru finanțare (în care se găsesc spațiile IMM-urilor) să fie pe raza unui UAT</w:t>
            </w:r>
            <w:r w:rsidRPr="000E3C01">
              <w:rPr>
                <w:rFonts w:ascii="Times New Roman" w:eastAsia="Times New Roman" w:hAnsi="Times New Roman" w:cs="Times New Roman"/>
                <w:sz w:val="20"/>
                <w:szCs w:val="20"/>
                <w:lang w:val="en-US"/>
              </w:rPr>
              <w:t xml:space="preserve"> </w:t>
            </w:r>
            <w:r w:rsidRPr="000E3C01">
              <w:rPr>
                <w:rFonts w:ascii="Times New Roman" w:eastAsia="Times New Roman" w:hAnsi="Times New Roman" w:cs="Times New Roman"/>
                <w:sz w:val="16"/>
                <w:szCs w:val="16"/>
                <w:lang w:val="en-US"/>
              </w:rPr>
              <w:t xml:space="preserve">eligibil, cu care IMM-ul depune proiectul în parteneriat. </w:t>
            </w:r>
          </w:p>
        </w:tc>
        <w:tc>
          <w:tcPr>
            <w:tcW w:w="1530" w:type="dxa"/>
            <w:tcBorders>
              <w:top w:val="single" w:sz="4" w:space="0" w:color="000000"/>
              <w:left w:val="single" w:sz="4" w:space="0" w:color="000000"/>
              <w:bottom w:val="single" w:sz="4" w:space="0" w:color="000000"/>
            </w:tcBorders>
            <w:shd w:val="clear" w:color="auto" w:fill="auto"/>
          </w:tcPr>
          <w:p w:rsidR="000E3C01" w:rsidRDefault="00F029D9" w:rsidP="00F029D9">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0E3C01" w:rsidRPr="000E3C01">
              <w:rPr>
                <w:rFonts w:ascii="Times New Roman" w:hAnsi="Times New Roman" w:cs="Times New Roman"/>
                <w:sz w:val="20"/>
                <w:szCs w:val="20"/>
                <w:lang w:val="en-US"/>
              </w:rPr>
              <w:t>olicitanții/ liderii de parteneriat UAT: 2% din totalul cheltuielilor eligibile ale proiectelor.</w:t>
            </w:r>
          </w:p>
          <w:p w:rsidR="00F029D9" w:rsidRPr="00F029D9" w:rsidRDefault="00F029D9" w:rsidP="00F029D9">
            <w:pPr>
              <w:autoSpaceDE w:val="0"/>
              <w:snapToGrid w:val="0"/>
              <w:spacing w:after="0" w:line="240" w:lineRule="auto"/>
              <w:rPr>
                <w:rFonts w:ascii="Times New Roman" w:hAnsi="Times New Roman" w:cs="Times New Roman"/>
                <w:sz w:val="20"/>
                <w:szCs w:val="20"/>
                <w:lang w:val="en-US"/>
              </w:rPr>
            </w:pPr>
          </w:p>
          <w:p w:rsidR="000E3C01" w:rsidRPr="00F029D9" w:rsidRDefault="000E3C01" w:rsidP="00F029D9">
            <w:pPr>
              <w:autoSpaceDE w:val="0"/>
              <w:snapToGrid w:val="0"/>
              <w:spacing w:after="0" w:line="240" w:lineRule="auto"/>
              <w:rPr>
                <w:rFonts w:ascii="Times New Roman" w:hAnsi="Times New Roman" w:cs="Times New Roman"/>
                <w:sz w:val="18"/>
                <w:szCs w:val="18"/>
                <w:lang w:val="en-US"/>
              </w:rPr>
            </w:pPr>
            <w:r w:rsidRPr="00F029D9">
              <w:rPr>
                <w:rFonts w:ascii="Times New Roman" w:hAnsi="Times New Roman" w:cs="Times New Roman"/>
                <w:sz w:val="18"/>
                <w:szCs w:val="18"/>
                <w:lang w:val="en-US"/>
              </w:rPr>
              <w:t>Solicitantul acoperă 100% din valoarea cheltuielilor neeligibile corespunzătoare Asociației/lor de proprietari.</w:t>
            </w:r>
          </w:p>
          <w:p w:rsidR="00C81D4D" w:rsidRDefault="00C81D4D" w:rsidP="000E3C01">
            <w:pPr>
              <w:autoSpaceDE w:val="0"/>
              <w:snapToGrid w:val="0"/>
              <w:spacing w:after="0" w:line="240" w:lineRule="auto"/>
              <w:rPr>
                <w:rFonts w:ascii="Times New Roman" w:hAnsi="Times New Roman" w:cs="Times New Roman"/>
                <w:sz w:val="16"/>
                <w:szCs w:val="16"/>
                <w:lang w:val="en-US"/>
              </w:rPr>
            </w:pPr>
          </w:p>
        </w:tc>
        <w:tc>
          <w:tcPr>
            <w:tcW w:w="1080" w:type="dxa"/>
            <w:tcBorders>
              <w:top w:val="single" w:sz="4" w:space="0" w:color="000000"/>
              <w:left w:val="single" w:sz="4" w:space="0" w:color="000000"/>
              <w:bottom w:val="single" w:sz="4" w:space="0" w:color="000000"/>
            </w:tcBorders>
            <w:shd w:val="clear" w:color="auto" w:fill="auto"/>
          </w:tcPr>
          <w:p w:rsidR="00C81D4D" w:rsidRDefault="00F029D9" w:rsidP="00B562E5">
            <w:pPr>
              <w:autoSpaceDE w:val="0"/>
              <w:spacing w:after="0" w:line="240" w:lineRule="auto"/>
              <w:rPr>
                <w:rFonts w:ascii="Times New Roman" w:hAnsi="Times New Roman" w:cs="Times New Roman"/>
                <w:sz w:val="18"/>
                <w:szCs w:val="18"/>
                <w:lang w:val="en-US"/>
              </w:rPr>
            </w:pPr>
            <w:r w:rsidRPr="00F029D9">
              <w:rPr>
                <w:rFonts w:ascii="Times New Roman" w:hAnsi="Times New Roman" w:cs="Times New Roman"/>
                <w:sz w:val="18"/>
                <w:szCs w:val="18"/>
                <w:lang w:val="en-US"/>
              </w:rPr>
              <w:t>28 martie 2025,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EF43A8" w:rsidRDefault="00F029D9" w:rsidP="00B562E5">
            <w:pPr>
              <w:autoSpaceDE w:val="0"/>
              <w:spacing w:after="0" w:line="240" w:lineRule="auto"/>
            </w:pPr>
            <w:hyperlink r:id="rId8" w:history="1">
              <w:r w:rsidRPr="00B802F3">
                <w:rPr>
                  <w:rStyle w:val="Hyperlink"/>
                </w:rPr>
                <w:t>https://fonduri-structurale.ro/finantari/129/cresterea-eficientei-energetice-in-regiune-ca-parte-a-investitiilor-in-sectorul-locuintelor#</w:t>
              </w:r>
            </w:hyperlink>
            <w:r w:rsidRPr="00F029D9">
              <w:t>!</w:t>
            </w:r>
          </w:p>
          <w:p w:rsidR="00F029D9" w:rsidRDefault="00F029D9" w:rsidP="00B562E5">
            <w:pPr>
              <w:autoSpaceDE w:val="0"/>
              <w:spacing w:after="0" w:line="240" w:lineRule="auto"/>
            </w:pPr>
          </w:p>
        </w:tc>
      </w:tr>
      <w:tr w:rsidR="00100066" w:rsidTr="00F029D9">
        <w:trPr>
          <w:cantSplit/>
          <w:trHeight w:val="6514"/>
        </w:trPr>
        <w:tc>
          <w:tcPr>
            <w:tcW w:w="1558" w:type="dxa"/>
            <w:tcBorders>
              <w:top w:val="single" w:sz="4" w:space="0" w:color="000000"/>
              <w:left w:val="single" w:sz="4" w:space="0" w:color="000000"/>
              <w:bottom w:val="single" w:sz="4" w:space="0" w:color="000000"/>
            </w:tcBorders>
            <w:shd w:val="clear" w:color="auto" w:fill="auto"/>
          </w:tcPr>
          <w:p w:rsidR="00100066" w:rsidRDefault="00100066" w:rsidP="00100066">
            <w:pPr>
              <w:autoSpaceDE w:val="0"/>
              <w:spacing w:after="0" w:line="240" w:lineRule="auto"/>
            </w:pPr>
            <w:r>
              <w:rPr>
                <w:rFonts w:ascii="Times New Roman" w:hAnsi="Times New Roman" w:cs="Times New Roman"/>
                <w:b/>
                <w:sz w:val="18"/>
                <w:szCs w:val="18"/>
              </w:rPr>
              <w:lastRenderedPageBreak/>
              <w:t>Guvernul</w:t>
            </w:r>
          </w:p>
          <w:p w:rsidR="00100066" w:rsidRDefault="00100066" w:rsidP="00100066">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100066" w:rsidRDefault="00100066" w:rsidP="00100066">
            <w:pPr>
              <w:autoSpaceDE w:val="0"/>
              <w:spacing w:after="0" w:line="240" w:lineRule="auto"/>
              <w:rPr>
                <w:rFonts w:ascii="Times New Roman" w:hAnsi="Times New Roman" w:cs="Times New Roman"/>
                <w:b/>
                <w:sz w:val="18"/>
                <w:szCs w:val="18"/>
              </w:rPr>
            </w:pPr>
          </w:p>
          <w:p w:rsidR="00100066" w:rsidRDefault="00100066" w:rsidP="00100066">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100066" w:rsidRPr="00907114" w:rsidRDefault="00100066" w:rsidP="00100066">
            <w:pPr>
              <w:autoSpaceDE w:val="0"/>
              <w:spacing w:after="0" w:line="240" w:lineRule="auto"/>
              <w:rPr>
                <w:rFonts w:ascii="Times New Roman" w:hAnsi="Times New Roman" w:cs="Times New Roman"/>
                <w:b/>
                <w:sz w:val="18"/>
                <w:szCs w:val="18"/>
              </w:rPr>
            </w:pPr>
          </w:p>
          <w:p w:rsidR="00100066" w:rsidRDefault="00100066" w:rsidP="00100066">
            <w:pPr>
              <w:autoSpaceDE w:val="0"/>
              <w:spacing w:after="0" w:line="240" w:lineRule="auto"/>
              <w:rPr>
                <w:rFonts w:ascii="Times New Roman" w:hAnsi="Times New Roman" w:cs="Times New Roman"/>
                <w:b/>
                <w:sz w:val="18"/>
                <w:szCs w:val="18"/>
              </w:rPr>
            </w:pPr>
            <w:r w:rsidRPr="00100066">
              <w:rPr>
                <w:rFonts w:ascii="Times New Roman" w:hAnsi="Times New Roman" w:cs="Times New Roman"/>
                <w:b/>
                <w:sz w:val="18"/>
                <w:szCs w:val="18"/>
              </w:rPr>
              <w:t>RURAL - Îmbunătățirea infrastructurii de turism, în special în zone care dispun de un potențial turistic valoros, inclusiv îmbunătățirea accesului către resursele și obiectivele turistice</w:t>
            </w:r>
            <w:r>
              <w:rPr>
                <w:rFonts w:ascii="Times New Roman" w:hAnsi="Times New Roman" w:cs="Times New Roman"/>
                <w:b/>
                <w:sz w:val="18"/>
                <w:szCs w:val="18"/>
              </w:rPr>
              <w:t xml:space="preserve"> </w:t>
            </w:r>
          </w:p>
          <w:p w:rsidR="00100066" w:rsidRDefault="00100066" w:rsidP="00100066">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Apel:  PRNV/202</w:t>
            </w:r>
            <w:r>
              <w:rPr>
                <w:rFonts w:ascii="Times New Roman" w:hAnsi="Times New Roman" w:cs="Times New Roman"/>
                <w:b/>
                <w:sz w:val="18"/>
                <w:szCs w:val="18"/>
              </w:rPr>
              <w:t>4</w:t>
            </w:r>
            <w:r w:rsidRPr="00203D96">
              <w:rPr>
                <w:rFonts w:ascii="Times New Roman" w:hAnsi="Times New Roman" w:cs="Times New Roman"/>
                <w:b/>
                <w:sz w:val="18"/>
                <w:szCs w:val="18"/>
              </w:rPr>
              <w:t>/</w:t>
            </w:r>
            <w:r>
              <w:rPr>
                <w:rFonts w:ascii="Times New Roman" w:hAnsi="Times New Roman" w:cs="Times New Roman"/>
                <w:b/>
                <w:sz w:val="18"/>
                <w:szCs w:val="18"/>
              </w:rPr>
              <w:t>722</w:t>
            </w:r>
            <w:r w:rsidRPr="00203D96">
              <w:rPr>
                <w:rFonts w:ascii="Times New Roman" w:hAnsi="Times New Roman" w:cs="Times New Roman"/>
                <w:b/>
                <w:sz w:val="18"/>
                <w:szCs w:val="18"/>
              </w:rPr>
              <w:t>/1</w:t>
            </w:r>
          </w:p>
        </w:tc>
        <w:tc>
          <w:tcPr>
            <w:tcW w:w="1953" w:type="dxa"/>
            <w:tcBorders>
              <w:top w:val="single" w:sz="4" w:space="0" w:color="000000"/>
              <w:left w:val="single" w:sz="4" w:space="0" w:color="000000"/>
              <w:bottom w:val="single" w:sz="4" w:space="0" w:color="000000"/>
            </w:tcBorders>
            <w:shd w:val="clear" w:color="auto" w:fill="auto"/>
          </w:tcPr>
          <w:p w:rsidR="00100066" w:rsidRPr="00100066" w:rsidRDefault="00100066" w:rsidP="00B562E5">
            <w:pPr>
              <w:autoSpaceDE w:val="0"/>
              <w:spacing w:after="0" w:line="240" w:lineRule="auto"/>
              <w:rPr>
                <w:rFonts w:ascii="Times New Roman" w:eastAsia="Times New Roman" w:hAnsi="Times New Roman" w:cs="Times New Roman"/>
                <w:sz w:val="20"/>
                <w:szCs w:val="20"/>
                <w:lang w:val="en-US"/>
              </w:rPr>
            </w:pPr>
            <w:r w:rsidRPr="00100066">
              <w:rPr>
                <w:rFonts w:ascii="Times New Roman" w:eastAsia="Times New Roman" w:hAnsi="Times New Roman" w:cs="Times New Roman"/>
                <w:sz w:val="20"/>
                <w:szCs w:val="20"/>
                <w:lang w:val="en-US"/>
              </w:rPr>
              <w:t>Apelul de proiecte se adresează unităților administrativ-teritoriale din mediul rural și finanțează îmbunătățirea infrastructurii de turism, accesul către resursele și obiectivele turistice, în vederea promovării dezvoltării locale integrate și durabile.</w:t>
            </w:r>
          </w:p>
        </w:tc>
        <w:tc>
          <w:tcPr>
            <w:tcW w:w="2159" w:type="dxa"/>
            <w:tcBorders>
              <w:top w:val="single" w:sz="4" w:space="0" w:color="000000"/>
              <w:left w:val="single" w:sz="4" w:space="0" w:color="000000"/>
              <w:bottom w:val="single" w:sz="4" w:space="0" w:color="000000"/>
            </w:tcBorders>
            <w:shd w:val="clear" w:color="auto" w:fill="auto"/>
          </w:tcPr>
          <w:p w:rsidR="00100066" w:rsidRPr="00100066" w:rsidRDefault="00100066" w:rsidP="00100066">
            <w:pPr>
              <w:autoSpaceDE w:val="0"/>
              <w:spacing w:after="0" w:line="240" w:lineRule="auto"/>
              <w:rPr>
                <w:rFonts w:ascii="Times New Roman" w:hAnsi="Times New Roman" w:cs="Times New Roman"/>
                <w:sz w:val="20"/>
                <w:szCs w:val="20"/>
                <w:lang w:val="en-US"/>
              </w:rPr>
            </w:pPr>
            <w:r w:rsidRPr="00100066">
              <w:rPr>
                <w:rFonts w:ascii="Times New Roman" w:hAnsi="Times New Roman" w:cs="Times New Roman"/>
                <w:sz w:val="20"/>
                <w:szCs w:val="20"/>
                <w:lang w:val="en-US"/>
              </w:rPr>
              <w:t>1.</w:t>
            </w:r>
            <w:r w:rsidRPr="00100066">
              <w:rPr>
                <w:rFonts w:ascii="Times New Roman" w:hAnsi="Times New Roman" w:cs="Times New Roman"/>
                <w:sz w:val="20"/>
                <w:szCs w:val="20"/>
                <w:lang w:val="en-US"/>
              </w:rPr>
              <w:t>Unitățile administrativ-teritoriale (UAT), respectiv:</w:t>
            </w:r>
          </w:p>
          <w:p w:rsidR="00100066" w:rsidRPr="00100066" w:rsidRDefault="00100066" w:rsidP="00100066">
            <w:pPr>
              <w:autoSpaceDE w:val="0"/>
              <w:spacing w:after="0" w:line="240" w:lineRule="auto"/>
              <w:rPr>
                <w:rFonts w:ascii="Times New Roman" w:hAnsi="Times New Roman" w:cs="Times New Roman"/>
                <w:sz w:val="20"/>
                <w:szCs w:val="20"/>
                <w:lang w:val="en-US"/>
              </w:rPr>
            </w:pPr>
            <w:r w:rsidRPr="00100066">
              <w:rPr>
                <w:rFonts w:ascii="Times New Roman" w:hAnsi="Times New Roman" w:cs="Times New Roman"/>
                <w:sz w:val="20"/>
                <w:szCs w:val="20"/>
                <w:lang w:val="en-US"/>
              </w:rPr>
              <w:t>Județ</w:t>
            </w:r>
            <w:r w:rsidRPr="00100066">
              <w:rPr>
                <w:rFonts w:ascii="Times New Roman" w:hAnsi="Times New Roman" w:cs="Times New Roman"/>
                <w:sz w:val="20"/>
                <w:szCs w:val="20"/>
                <w:lang w:val="en-US"/>
              </w:rPr>
              <w:t>,</w:t>
            </w:r>
            <w:r w:rsidRPr="00100066">
              <w:rPr>
                <w:rFonts w:ascii="Times New Roman" w:hAnsi="Times New Roman" w:cs="Times New Roman"/>
                <w:sz w:val="20"/>
                <w:szCs w:val="20"/>
                <w:lang w:val="en-US"/>
              </w:rPr>
              <w:t>Comună</w:t>
            </w:r>
          </w:p>
          <w:p w:rsidR="00100066" w:rsidRPr="00100066" w:rsidRDefault="00100066" w:rsidP="00100066">
            <w:pPr>
              <w:autoSpaceDE w:val="0"/>
              <w:spacing w:after="0" w:line="240" w:lineRule="auto"/>
              <w:rPr>
                <w:rFonts w:ascii="Times New Roman" w:hAnsi="Times New Roman" w:cs="Times New Roman"/>
                <w:sz w:val="20"/>
                <w:szCs w:val="20"/>
                <w:lang w:val="en-US"/>
              </w:rPr>
            </w:pPr>
          </w:p>
          <w:p w:rsidR="00100066" w:rsidRPr="00100066" w:rsidRDefault="00100066" w:rsidP="00100066">
            <w:pPr>
              <w:autoSpaceDE w:val="0"/>
              <w:spacing w:after="0" w:line="240" w:lineRule="auto"/>
              <w:rPr>
                <w:rFonts w:ascii="Times New Roman" w:hAnsi="Times New Roman" w:cs="Times New Roman"/>
                <w:sz w:val="20"/>
                <w:szCs w:val="20"/>
                <w:lang w:val="en-US"/>
              </w:rPr>
            </w:pPr>
            <w:r w:rsidRPr="00100066">
              <w:rPr>
                <w:rFonts w:ascii="Times New Roman" w:hAnsi="Times New Roman" w:cs="Times New Roman"/>
                <w:sz w:val="20"/>
                <w:szCs w:val="20"/>
                <w:lang w:val="en-US"/>
              </w:rPr>
              <w:t>2.</w:t>
            </w:r>
            <w:r w:rsidRPr="00100066">
              <w:rPr>
                <w:rFonts w:ascii="Times New Roman" w:hAnsi="Times New Roman" w:cs="Times New Roman"/>
                <w:sz w:val="20"/>
                <w:szCs w:val="20"/>
                <w:lang w:val="en-US"/>
              </w:rPr>
              <w:t>Parteneriate între entitățile menționate mai sus.</w:t>
            </w:r>
          </w:p>
          <w:p w:rsidR="00100066" w:rsidRPr="00100066" w:rsidRDefault="00100066" w:rsidP="00100066">
            <w:pPr>
              <w:autoSpaceDE w:val="0"/>
              <w:spacing w:after="0" w:line="240" w:lineRule="auto"/>
              <w:rPr>
                <w:rFonts w:ascii="Times New Roman" w:hAnsi="Times New Roman" w:cs="Times New Roman"/>
                <w:sz w:val="20"/>
                <w:szCs w:val="20"/>
                <w:lang w:val="en-US"/>
              </w:rPr>
            </w:pPr>
          </w:p>
          <w:p w:rsidR="00100066" w:rsidRPr="000E3C01" w:rsidRDefault="00100066" w:rsidP="00100066">
            <w:pPr>
              <w:autoSpaceDE w:val="0"/>
              <w:spacing w:after="0" w:line="240" w:lineRule="auto"/>
              <w:rPr>
                <w:rFonts w:ascii="Times New Roman" w:hAnsi="Times New Roman" w:cs="Times New Roman"/>
                <w:sz w:val="16"/>
                <w:szCs w:val="16"/>
                <w:lang w:val="en-US"/>
              </w:rPr>
            </w:pPr>
            <w:r w:rsidRPr="00100066">
              <w:rPr>
                <w:rFonts w:ascii="Times New Roman" w:hAnsi="Times New Roman" w:cs="Times New Roman"/>
                <w:sz w:val="20"/>
                <w:szCs w:val="20"/>
                <w:lang w:val="en-US"/>
              </w:rPr>
              <w:t>Aria de implementare a proiectelor ce pot fi finanțate prin acest program este regiunea de dezvoltare Nord-Vest</w:t>
            </w:r>
          </w:p>
        </w:tc>
        <w:tc>
          <w:tcPr>
            <w:tcW w:w="4050" w:type="dxa"/>
            <w:tcBorders>
              <w:top w:val="single" w:sz="4" w:space="0" w:color="000000"/>
              <w:left w:val="single" w:sz="4" w:space="0" w:color="000000"/>
              <w:bottom w:val="single" w:sz="4" w:space="0" w:color="000000"/>
            </w:tcBorders>
            <w:shd w:val="clear" w:color="auto" w:fill="auto"/>
          </w:tcPr>
          <w:p w:rsidR="00100066" w:rsidRPr="00100066" w:rsidRDefault="00100066" w:rsidP="00100066">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1.</w:t>
            </w:r>
            <w:r w:rsidRPr="00100066">
              <w:rPr>
                <w:rFonts w:ascii="Times New Roman" w:hAnsi="Times New Roman" w:cs="Times New Roman"/>
                <w:sz w:val="18"/>
                <w:szCs w:val="18"/>
                <w:lang w:val="en-US"/>
              </w:rPr>
              <w:t>Sprijinirea unor proiecte inovative de diversificare a serviciilor și activităților turistice cu scopul creșterii accesibilității obiectivelor turistice prin: telegondole, telescaun, via ferrata etc.</w:t>
            </w:r>
          </w:p>
          <w:p w:rsidR="00100066" w:rsidRPr="00100066" w:rsidRDefault="00100066" w:rsidP="00100066">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2.</w:t>
            </w:r>
            <w:r w:rsidRPr="00100066">
              <w:rPr>
                <w:rFonts w:ascii="Times New Roman" w:hAnsi="Times New Roman" w:cs="Times New Roman"/>
                <w:sz w:val="18"/>
                <w:szCs w:val="18"/>
                <w:lang w:val="en-US"/>
              </w:rPr>
              <w:t>Amenajări aferente zonelor de relaxare și agrement aflate în proximitatea resurselor turistice</w:t>
            </w:r>
          </w:p>
          <w:p w:rsidR="00100066" w:rsidRPr="00100066" w:rsidRDefault="00100066" w:rsidP="00100066">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3.</w:t>
            </w:r>
            <w:r w:rsidRPr="00100066">
              <w:rPr>
                <w:rFonts w:ascii="Times New Roman" w:hAnsi="Times New Roman" w:cs="Times New Roman"/>
                <w:sz w:val="18"/>
                <w:szCs w:val="18"/>
                <w:lang w:val="en-US"/>
              </w:rPr>
              <w:t>Construirea, extinderea, modernizarea, dotarea infrastructurilor specifice, necesare valorificării resurselor turistice</w:t>
            </w:r>
          </w:p>
          <w:p w:rsidR="00100066" w:rsidRDefault="00100066" w:rsidP="00100066">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4.</w:t>
            </w:r>
            <w:r w:rsidRPr="00100066">
              <w:rPr>
                <w:rFonts w:ascii="Times New Roman" w:hAnsi="Times New Roman" w:cs="Times New Roman"/>
                <w:sz w:val="18"/>
                <w:szCs w:val="18"/>
                <w:lang w:val="en-US"/>
              </w:rPr>
              <w:t>Amenajarea traseelor turistice folosind soluții prietenoase cu mediul (trasee montane marcate, puncte de observare, foișoare, popasuri, puncte salvamont etc.)</w:t>
            </w:r>
          </w:p>
          <w:p w:rsidR="00100066" w:rsidRPr="00100066" w:rsidRDefault="00100066" w:rsidP="00100066">
            <w:pPr>
              <w:autoSpaceDE w:val="0"/>
              <w:snapToGrid w:val="0"/>
              <w:spacing w:after="0" w:line="240" w:lineRule="auto"/>
              <w:rPr>
                <w:rFonts w:ascii="Times New Roman" w:hAnsi="Times New Roman" w:cs="Times New Roman"/>
                <w:sz w:val="18"/>
                <w:szCs w:val="18"/>
                <w:lang w:val="en-US"/>
              </w:rPr>
            </w:pPr>
          </w:p>
          <w:p w:rsidR="00100066" w:rsidRDefault="00100066" w:rsidP="00100066">
            <w:pPr>
              <w:autoSpaceDE w:val="0"/>
              <w:snapToGrid w:val="0"/>
              <w:spacing w:after="0" w:line="240" w:lineRule="auto"/>
              <w:rPr>
                <w:rFonts w:ascii="Times New Roman" w:hAnsi="Times New Roman" w:cs="Times New Roman"/>
                <w:sz w:val="18"/>
                <w:szCs w:val="18"/>
                <w:lang w:val="en-US"/>
              </w:rPr>
            </w:pPr>
            <w:r w:rsidRPr="00100066">
              <w:rPr>
                <w:rFonts w:ascii="Times New Roman" w:hAnsi="Times New Roman" w:cs="Times New Roman"/>
                <w:sz w:val="18"/>
                <w:szCs w:val="18"/>
                <w:lang w:val="en-US"/>
              </w:rPr>
              <w:t>Resursa antropică, obiect al investiției propuse, trebuie să valorifice în mod obligatoriu resursa naturală identificată (ex: baraje, lacuri etc).</w:t>
            </w:r>
          </w:p>
        </w:tc>
        <w:tc>
          <w:tcPr>
            <w:tcW w:w="1620" w:type="dxa"/>
            <w:tcBorders>
              <w:top w:val="single" w:sz="4" w:space="0" w:color="000000"/>
              <w:left w:val="single" w:sz="4" w:space="0" w:color="000000"/>
              <w:bottom w:val="single" w:sz="4" w:space="0" w:color="000000"/>
            </w:tcBorders>
            <w:shd w:val="clear" w:color="auto" w:fill="auto"/>
          </w:tcPr>
          <w:p w:rsidR="00100066" w:rsidRPr="00100066" w:rsidRDefault="00100066" w:rsidP="00100066">
            <w:pPr>
              <w:autoSpaceDE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w:t>
            </w:r>
            <w:r w:rsidRPr="00100066">
              <w:rPr>
                <w:rFonts w:ascii="Times New Roman" w:eastAsia="Times New Roman" w:hAnsi="Times New Roman" w:cs="Times New Roman"/>
                <w:sz w:val="18"/>
                <w:szCs w:val="18"/>
                <w:lang w:val="en-US"/>
              </w:rPr>
              <w:t>Pentru cererile de finanțare care intră sub incidența ajutorului de stat, valoarea minimă/maximă a valorii totale nerambursabile este:</w:t>
            </w:r>
          </w:p>
          <w:p w:rsidR="00100066" w:rsidRPr="00100066" w:rsidRDefault="00100066" w:rsidP="00100066">
            <w:pPr>
              <w:autoSpaceDE w:val="0"/>
              <w:spacing w:after="0" w:line="240" w:lineRule="auto"/>
              <w:rPr>
                <w:rFonts w:ascii="Times New Roman" w:eastAsia="Times New Roman" w:hAnsi="Times New Roman" w:cs="Times New Roman"/>
                <w:sz w:val="18"/>
                <w:szCs w:val="18"/>
                <w:lang w:val="en-US"/>
              </w:rPr>
            </w:pPr>
            <w:r w:rsidRPr="00100066">
              <w:rPr>
                <w:rFonts w:ascii="Times New Roman" w:eastAsia="Times New Roman" w:hAnsi="Times New Roman" w:cs="Times New Roman"/>
                <w:sz w:val="18"/>
                <w:szCs w:val="18"/>
                <w:lang w:val="en-US"/>
              </w:rPr>
              <w:t>Plafonul minim al finanțării nerambursabile solicitate pentru un proiect este de 250.000,00 Euro</w:t>
            </w:r>
          </w:p>
          <w:p w:rsidR="00100066" w:rsidRPr="00100066" w:rsidRDefault="00100066" w:rsidP="00100066">
            <w:pPr>
              <w:autoSpaceDE w:val="0"/>
              <w:spacing w:after="0" w:line="240" w:lineRule="auto"/>
              <w:rPr>
                <w:rFonts w:ascii="Times New Roman" w:eastAsia="Times New Roman" w:hAnsi="Times New Roman" w:cs="Times New Roman"/>
                <w:sz w:val="18"/>
                <w:szCs w:val="18"/>
                <w:lang w:val="en-US"/>
              </w:rPr>
            </w:pPr>
            <w:r w:rsidRPr="00100066">
              <w:rPr>
                <w:rFonts w:ascii="Times New Roman" w:eastAsia="Times New Roman" w:hAnsi="Times New Roman" w:cs="Times New Roman"/>
                <w:sz w:val="18"/>
                <w:szCs w:val="18"/>
                <w:lang w:val="en-US"/>
              </w:rPr>
              <w:t>Plafonul maxim al finanțării nerambursabile solicitate pentru un proiect este de 2.000.000,00 Euro</w:t>
            </w:r>
          </w:p>
          <w:p w:rsidR="00100066" w:rsidRPr="00100066" w:rsidRDefault="00100066" w:rsidP="00100066">
            <w:pPr>
              <w:autoSpaceDE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w:t>
            </w:r>
            <w:r w:rsidRPr="00100066">
              <w:rPr>
                <w:rFonts w:ascii="Times New Roman" w:eastAsia="Times New Roman" w:hAnsi="Times New Roman" w:cs="Times New Roman"/>
                <w:sz w:val="18"/>
                <w:szCs w:val="18"/>
                <w:lang w:val="en-US"/>
              </w:rPr>
              <w:t>Pentru cererile de finanţare care nu intră sub incidenţa ajutorului de stat, valoarea minimă/maximă a valorii totale eligibile este:</w:t>
            </w:r>
          </w:p>
          <w:p w:rsidR="00100066" w:rsidRPr="00100066" w:rsidRDefault="00100066" w:rsidP="00100066">
            <w:pPr>
              <w:autoSpaceDE w:val="0"/>
              <w:spacing w:after="0" w:line="240" w:lineRule="auto"/>
              <w:rPr>
                <w:rFonts w:ascii="Times New Roman" w:eastAsia="Times New Roman" w:hAnsi="Times New Roman" w:cs="Times New Roman"/>
                <w:sz w:val="18"/>
                <w:szCs w:val="18"/>
                <w:lang w:val="en-US"/>
              </w:rPr>
            </w:pPr>
            <w:r w:rsidRPr="00100066">
              <w:rPr>
                <w:rFonts w:ascii="Times New Roman" w:eastAsia="Times New Roman" w:hAnsi="Times New Roman" w:cs="Times New Roman"/>
                <w:sz w:val="18"/>
                <w:szCs w:val="18"/>
                <w:lang w:val="en-US"/>
              </w:rPr>
              <w:t>Valoarea minimă eligibilă a unui proiect: 100.000,00 Euro</w:t>
            </w:r>
          </w:p>
          <w:p w:rsidR="00100066" w:rsidRPr="000E3C01" w:rsidRDefault="00100066" w:rsidP="00100066">
            <w:pPr>
              <w:autoSpaceDE w:val="0"/>
              <w:spacing w:after="0" w:line="240" w:lineRule="auto"/>
              <w:rPr>
                <w:rFonts w:ascii="Times New Roman" w:eastAsia="Times New Roman" w:hAnsi="Times New Roman" w:cs="Times New Roman"/>
                <w:sz w:val="20"/>
                <w:szCs w:val="20"/>
                <w:lang w:val="en-US"/>
              </w:rPr>
            </w:pPr>
            <w:r w:rsidRPr="00100066">
              <w:rPr>
                <w:rFonts w:ascii="Times New Roman" w:eastAsia="Times New Roman" w:hAnsi="Times New Roman" w:cs="Times New Roman"/>
                <w:sz w:val="18"/>
                <w:szCs w:val="18"/>
                <w:lang w:val="en-US"/>
              </w:rPr>
              <w:t>Valoarea maximă eligibilă a unui proiect:</w:t>
            </w:r>
            <w:r w:rsidRPr="00100066">
              <w:rPr>
                <w:rFonts w:ascii="Times New Roman" w:eastAsia="Times New Roman" w:hAnsi="Times New Roman" w:cs="Times New Roman"/>
                <w:sz w:val="20"/>
                <w:szCs w:val="20"/>
                <w:lang w:val="en-US"/>
              </w:rPr>
              <w:t xml:space="preserve"> </w:t>
            </w:r>
            <w:r w:rsidRPr="00100066">
              <w:rPr>
                <w:rFonts w:ascii="Times New Roman" w:eastAsia="Times New Roman" w:hAnsi="Times New Roman" w:cs="Times New Roman"/>
                <w:sz w:val="18"/>
                <w:szCs w:val="18"/>
                <w:lang w:val="en-US"/>
              </w:rPr>
              <w:t>6.000.000,00 Euro</w:t>
            </w:r>
          </w:p>
        </w:tc>
        <w:tc>
          <w:tcPr>
            <w:tcW w:w="1530" w:type="dxa"/>
            <w:tcBorders>
              <w:top w:val="single" w:sz="4" w:space="0" w:color="000000"/>
              <w:left w:val="single" w:sz="4" w:space="0" w:color="000000"/>
              <w:bottom w:val="single" w:sz="4" w:space="0" w:color="000000"/>
            </w:tcBorders>
            <w:shd w:val="clear" w:color="auto" w:fill="auto"/>
          </w:tcPr>
          <w:p w:rsidR="00100066" w:rsidRPr="00100066" w:rsidRDefault="00100066" w:rsidP="00100066">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100066">
              <w:rPr>
                <w:rFonts w:ascii="Times New Roman" w:hAnsi="Times New Roman" w:cs="Times New Roman"/>
                <w:sz w:val="20"/>
                <w:szCs w:val="20"/>
                <w:lang w:val="en-US"/>
              </w:rPr>
              <w:t>Pentru proiectele care vizează investiții ce nu intră sub incidența ajutorului de stat - cuantumul cofinanțării asigurate de către solicitant este de minim 2% din valoarea totală a cheltuielilor eligibile</w:t>
            </w:r>
          </w:p>
          <w:p w:rsidR="00100066" w:rsidRPr="00100066" w:rsidRDefault="00100066" w:rsidP="00100066">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100066">
              <w:rPr>
                <w:rFonts w:ascii="Times New Roman" w:hAnsi="Times New Roman" w:cs="Times New Roman"/>
                <w:sz w:val="20"/>
                <w:szCs w:val="20"/>
                <w:lang w:val="en-US"/>
              </w:rPr>
              <w:t>Pentru proiectele care vizează investiții ce intră sub incidența ajutorului de stat se va lua în calcul cuantumul cofinanțării acordatestabilite în funcție de locul de implementare a proiectului:</w:t>
            </w:r>
          </w:p>
          <w:p w:rsidR="00100066" w:rsidRPr="00100066" w:rsidRDefault="00100066" w:rsidP="00100066">
            <w:pPr>
              <w:autoSpaceDE w:val="0"/>
              <w:snapToGrid w:val="0"/>
              <w:spacing w:after="0" w:line="240" w:lineRule="auto"/>
              <w:rPr>
                <w:rFonts w:ascii="Times New Roman" w:hAnsi="Times New Roman" w:cs="Times New Roman"/>
                <w:sz w:val="20"/>
                <w:szCs w:val="20"/>
                <w:lang w:val="en-US"/>
              </w:rPr>
            </w:pPr>
            <w:r w:rsidRPr="00100066">
              <w:rPr>
                <w:rFonts w:ascii="Times New Roman" w:hAnsi="Times New Roman" w:cs="Times New Roman"/>
                <w:sz w:val="20"/>
                <w:szCs w:val="20"/>
                <w:lang w:val="en-US"/>
              </w:rPr>
              <w:t>Bistrița-Năsăud, Maramureș, Satu Mare, Sălaj - 50%</w:t>
            </w:r>
          </w:p>
          <w:p w:rsidR="00100066" w:rsidRDefault="00100066" w:rsidP="00100066">
            <w:pPr>
              <w:autoSpaceDE w:val="0"/>
              <w:snapToGrid w:val="0"/>
              <w:spacing w:after="0" w:line="240" w:lineRule="auto"/>
              <w:rPr>
                <w:rFonts w:ascii="Times New Roman" w:hAnsi="Times New Roman" w:cs="Times New Roman"/>
                <w:sz w:val="20"/>
                <w:szCs w:val="20"/>
                <w:lang w:val="en-US"/>
              </w:rPr>
            </w:pPr>
            <w:r w:rsidRPr="00100066">
              <w:rPr>
                <w:rFonts w:ascii="Times New Roman" w:hAnsi="Times New Roman" w:cs="Times New Roman"/>
                <w:sz w:val="20"/>
                <w:szCs w:val="20"/>
                <w:lang w:val="en-US"/>
              </w:rPr>
              <w:t>Bihor, Cluj - 60%</w:t>
            </w:r>
          </w:p>
        </w:tc>
        <w:tc>
          <w:tcPr>
            <w:tcW w:w="1080" w:type="dxa"/>
            <w:tcBorders>
              <w:top w:val="single" w:sz="4" w:space="0" w:color="000000"/>
              <w:left w:val="single" w:sz="4" w:space="0" w:color="000000"/>
              <w:bottom w:val="single" w:sz="4" w:space="0" w:color="000000"/>
            </w:tcBorders>
            <w:shd w:val="clear" w:color="auto" w:fill="auto"/>
          </w:tcPr>
          <w:p w:rsidR="00100066" w:rsidRPr="00F029D9" w:rsidRDefault="00100066" w:rsidP="00B562E5">
            <w:pPr>
              <w:autoSpaceDE w:val="0"/>
              <w:spacing w:after="0" w:line="240" w:lineRule="auto"/>
              <w:rPr>
                <w:rFonts w:ascii="Times New Roman" w:hAnsi="Times New Roman" w:cs="Times New Roman"/>
                <w:sz w:val="18"/>
                <w:szCs w:val="18"/>
                <w:lang w:val="en-US"/>
              </w:rPr>
            </w:pPr>
            <w:r w:rsidRPr="00100066">
              <w:rPr>
                <w:rFonts w:ascii="Times New Roman" w:hAnsi="Times New Roman" w:cs="Times New Roman"/>
                <w:sz w:val="18"/>
                <w:szCs w:val="18"/>
                <w:lang w:val="en-US"/>
              </w:rPr>
              <w:t>29.08.2024,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100066" w:rsidRDefault="00100066" w:rsidP="00B562E5">
            <w:pPr>
              <w:autoSpaceDE w:val="0"/>
              <w:spacing w:after="0" w:line="240" w:lineRule="auto"/>
            </w:pPr>
            <w:hyperlink r:id="rId9" w:history="1">
              <w:r w:rsidRPr="00B802F3">
                <w:rPr>
                  <w:rStyle w:val="Hyperlink"/>
                </w:rPr>
                <w:t>https://www.fonduri-structurale.ro/finantari/644/imbunatatirea-infrastructurii-de-turism-in-special-in-zone-care-dispun-de-un-potential-turistic-valoros-inclusiv-imbunatatirea-accesului-catre-resursele-si-obiectivele-turistice-rural</w:t>
              </w:r>
            </w:hyperlink>
          </w:p>
          <w:p w:rsidR="00100066" w:rsidRDefault="00100066" w:rsidP="00B562E5">
            <w:pPr>
              <w:autoSpaceDE w:val="0"/>
              <w:spacing w:after="0" w:line="240" w:lineRule="auto"/>
            </w:pPr>
          </w:p>
        </w:tc>
      </w:tr>
      <w:tr w:rsidR="00700345" w:rsidTr="00F029D9">
        <w:trPr>
          <w:cantSplit/>
          <w:trHeight w:val="6514"/>
        </w:trPr>
        <w:tc>
          <w:tcPr>
            <w:tcW w:w="1558" w:type="dxa"/>
            <w:tcBorders>
              <w:top w:val="single" w:sz="4" w:space="0" w:color="000000"/>
              <w:left w:val="single" w:sz="4" w:space="0" w:color="000000"/>
              <w:bottom w:val="single" w:sz="4" w:space="0" w:color="000000"/>
            </w:tcBorders>
            <w:shd w:val="clear" w:color="auto" w:fill="auto"/>
          </w:tcPr>
          <w:p w:rsidR="00700345" w:rsidRDefault="00700345" w:rsidP="00700345">
            <w:pPr>
              <w:autoSpaceDE w:val="0"/>
              <w:spacing w:after="0" w:line="240" w:lineRule="auto"/>
            </w:pPr>
            <w:r>
              <w:rPr>
                <w:rFonts w:ascii="Times New Roman" w:hAnsi="Times New Roman" w:cs="Times New Roman"/>
                <w:b/>
                <w:sz w:val="18"/>
                <w:szCs w:val="18"/>
              </w:rPr>
              <w:lastRenderedPageBreak/>
              <w:t>Guvernul</w:t>
            </w:r>
          </w:p>
          <w:p w:rsidR="00700345" w:rsidRDefault="00700345" w:rsidP="0070034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700345" w:rsidRDefault="00700345" w:rsidP="00700345">
            <w:pPr>
              <w:autoSpaceDE w:val="0"/>
              <w:spacing w:after="0" w:line="240" w:lineRule="auto"/>
              <w:rPr>
                <w:rFonts w:ascii="Times New Roman" w:hAnsi="Times New Roman" w:cs="Times New Roman"/>
                <w:b/>
                <w:sz w:val="18"/>
                <w:szCs w:val="18"/>
              </w:rPr>
            </w:pPr>
          </w:p>
          <w:p w:rsidR="00700345" w:rsidRDefault="00700345" w:rsidP="00700345">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700345" w:rsidRPr="00907114" w:rsidRDefault="00700345" w:rsidP="00700345">
            <w:pPr>
              <w:autoSpaceDE w:val="0"/>
              <w:spacing w:after="0" w:line="240" w:lineRule="auto"/>
              <w:rPr>
                <w:rFonts w:ascii="Times New Roman" w:hAnsi="Times New Roman" w:cs="Times New Roman"/>
                <w:b/>
                <w:sz w:val="18"/>
                <w:szCs w:val="18"/>
              </w:rPr>
            </w:pPr>
          </w:p>
          <w:p w:rsidR="00700345" w:rsidRDefault="00700345" w:rsidP="00700345">
            <w:pPr>
              <w:autoSpaceDE w:val="0"/>
              <w:spacing w:after="0" w:line="240" w:lineRule="auto"/>
              <w:rPr>
                <w:rFonts w:ascii="Times New Roman" w:hAnsi="Times New Roman" w:cs="Times New Roman"/>
                <w:b/>
                <w:sz w:val="18"/>
                <w:szCs w:val="18"/>
              </w:rPr>
            </w:pPr>
            <w:r w:rsidRPr="00700345">
              <w:rPr>
                <w:rFonts w:ascii="Times New Roman" w:hAnsi="Times New Roman" w:cs="Times New Roman"/>
                <w:b/>
                <w:sz w:val="18"/>
                <w:szCs w:val="18"/>
              </w:rPr>
              <w:t>URBAN - Îmbunătățirea infrastructurii de turism, în special în zone care dispun de un potențial turistic valoros, inclusiv îmbunătățirea accesului către resursele și obiectivele turistice</w:t>
            </w:r>
          </w:p>
          <w:p w:rsidR="00700345" w:rsidRDefault="00700345" w:rsidP="00700345">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Apel:  PRNV/202</w:t>
            </w:r>
            <w:r>
              <w:rPr>
                <w:rFonts w:ascii="Times New Roman" w:hAnsi="Times New Roman" w:cs="Times New Roman"/>
                <w:b/>
                <w:sz w:val="18"/>
                <w:szCs w:val="18"/>
              </w:rPr>
              <w:t>4</w:t>
            </w:r>
            <w:r w:rsidRPr="00203D96">
              <w:rPr>
                <w:rFonts w:ascii="Times New Roman" w:hAnsi="Times New Roman" w:cs="Times New Roman"/>
                <w:b/>
                <w:sz w:val="18"/>
                <w:szCs w:val="18"/>
              </w:rPr>
              <w:t>/</w:t>
            </w:r>
            <w:r>
              <w:rPr>
                <w:rFonts w:ascii="Times New Roman" w:hAnsi="Times New Roman" w:cs="Times New Roman"/>
                <w:b/>
                <w:sz w:val="18"/>
                <w:szCs w:val="18"/>
              </w:rPr>
              <w:t>712</w:t>
            </w:r>
            <w:r w:rsidRPr="00203D96">
              <w:rPr>
                <w:rFonts w:ascii="Times New Roman" w:hAnsi="Times New Roman" w:cs="Times New Roman"/>
                <w:b/>
                <w:sz w:val="18"/>
                <w:szCs w:val="18"/>
              </w:rPr>
              <w:t>/1</w:t>
            </w:r>
          </w:p>
        </w:tc>
        <w:tc>
          <w:tcPr>
            <w:tcW w:w="1953" w:type="dxa"/>
            <w:tcBorders>
              <w:top w:val="single" w:sz="4" w:space="0" w:color="000000"/>
              <w:left w:val="single" w:sz="4" w:space="0" w:color="000000"/>
              <w:bottom w:val="single" w:sz="4" w:space="0" w:color="000000"/>
            </w:tcBorders>
            <w:shd w:val="clear" w:color="auto" w:fill="auto"/>
          </w:tcPr>
          <w:p w:rsidR="00700345" w:rsidRPr="00100066" w:rsidRDefault="00700345" w:rsidP="00B562E5">
            <w:pPr>
              <w:autoSpaceDE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Î</w:t>
            </w:r>
            <w:r w:rsidRPr="00700345">
              <w:rPr>
                <w:rFonts w:ascii="Times New Roman" w:eastAsia="Times New Roman" w:hAnsi="Times New Roman" w:cs="Times New Roman"/>
                <w:sz w:val="20"/>
                <w:szCs w:val="20"/>
                <w:lang w:val="en-US"/>
              </w:rPr>
              <w:t>mbunătățirea infrastructurii de turism în zone cu potențial valoros, inclusiv accesul către resurse și obiective turistice. Se finanțează proiecte care promovează dezvoltarea durabilă și integrată în domeniul social, economic, mediul urban și cultură.</w:t>
            </w:r>
          </w:p>
        </w:tc>
        <w:tc>
          <w:tcPr>
            <w:tcW w:w="2159" w:type="dxa"/>
            <w:tcBorders>
              <w:top w:val="single" w:sz="4" w:space="0" w:color="000000"/>
              <w:left w:val="single" w:sz="4" w:space="0" w:color="000000"/>
              <w:bottom w:val="single" w:sz="4" w:space="0" w:color="000000"/>
            </w:tcBorders>
            <w:shd w:val="clear" w:color="auto" w:fill="auto"/>
          </w:tcPr>
          <w:p w:rsidR="00700345" w:rsidRPr="00700345" w:rsidRDefault="00700345" w:rsidP="00700345">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r w:rsidRPr="00700345">
              <w:rPr>
                <w:rFonts w:ascii="Times New Roman" w:hAnsi="Times New Roman" w:cs="Times New Roman"/>
                <w:sz w:val="20"/>
                <w:szCs w:val="20"/>
                <w:lang w:val="en-US"/>
              </w:rPr>
              <w:t>Unitățile administrativ-teritoriale (UAT), respectiv:</w:t>
            </w:r>
          </w:p>
          <w:p w:rsidR="00700345" w:rsidRPr="00700345" w:rsidRDefault="00700345" w:rsidP="00700345">
            <w:pPr>
              <w:autoSpaceDE w:val="0"/>
              <w:spacing w:after="0" w:line="240" w:lineRule="auto"/>
              <w:rPr>
                <w:rFonts w:ascii="Times New Roman" w:hAnsi="Times New Roman" w:cs="Times New Roman"/>
                <w:sz w:val="20"/>
                <w:szCs w:val="20"/>
                <w:lang w:val="en-US"/>
              </w:rPr>
            </w:pPr>
            <w:r w:rsidRPr="00700345">
              <w:rPr>
                <w:rFonts w:ascii="Times New Roman" w:hAnsi="Times New Roman" w:cs="Times New Roman"/>
                <w:sz w:val="20"/>
                <w:szCs w:val="20"/>
                <w:lang w:val="en-US"/>
              </w:rPr>
              <w:t>Județ;</w:t>
            </w:r>
          </w:p>
          <w:p w:rsidR="00700345" w:rsidRPr="00700345" w:rsidRDefault="00700345" w:rsidP="00700345">
            <w:pPr>
              <w:autoSpaceDE w:val="0"/>
              <w:spacing w:after="0" w:line="240" w:lineRule="auto"/>
              <w:rPr>
                <w:rFonts w:ascii="Times New Roman" w:hAnsi="Times New Roman" w:cs="Times New Roman"/>
                <w:sz w:val="20"/>
                <w:szCs w:val="20"/>
                <w:lang w:val="en-US"/>
              </w:rPr>
            </w:pPr>
            <w:r w:rsidRPr="00700345">
              <w:rPr>
                <w:rFonts w:ascii="Times New Roman" w:hAnsi="Times New Roman" w:cs="Times New Roman"/>
                <w:sz w:val="20"/>
                <w:szCs w:val="20"/>
                <w:lang w:val="en-US"/>
              </w:rPr>
              <w:t>Municipiu reședință de județ;</w:t>
            </w:r>
          </w:p>
          <w:p w:rsidR="00700345" w:rsidRPr="00700345" w:rsidRDefault="00700345" w:rsidP="00700345">
            <w:pPr>
              <w:autoSpaceDE w:val="0"/>
              <w:spacing w:after="0" w:line="240" w:lineRule="auto"/>
              <w:rPr>
                <w:rFonts w:ascii="Times New Roman" w:hAnsi="Times New Roman" w:cs="Times New Roman"/>
                <w:sz w:val="20"/>
                <w:szCs w:val="20"/>
                <w:lang w:val="en-US"/>
              </w:rPr>
            </w:pPr>
            <w:r w:rsidRPr="00700345">
              <w:rPr>
                <w:rFonts w:ascii="Times New Roman" w:hAnsi="Times New Roman" w:cs="Times New Roman"/>
                <w:sz w:val="20"/>
                <w:szCs w:val="20"/>
                <w:lang w:val="en-US"/>
              </w:rPr>
              <w:t>Municipiu;</w:t>
            </w:r>
          </w:p>
          <w:p w:rsidR="00700345" w:rsidRPr="00700345" w:rsidRDefault="00700345" w:rsidP="00700345">
            <w:pPr>
              <w:autoSpaceDE w:val="0"/>
              <w:spacing w:after="0" w:line="240" w:lineRule="auto"/>
              <w:rPr>
                <w:rFonts w:ascii="Times New Roman" w:hAnsi="Times New Roman" w:cs="Times New Roman"/>
                <w:sz w:val="20"/>
                <w:szCs w:val="20"/>
                <w:lang w:val="en-US"/>
              </w:rPr>
            </w:pPr>
            <w:r w:rsidRPr="00700345">
              <w:rPr>
                <w:rFonts w:ascii="Times New Roman" w:hAnsi="Times New Roman" w:cs="Times New Roman"/>
                <w:sz w:val="20"/>
                <w:szCs w:val="20"/>
                <w:lang w:val="en-US"/>
              </w:rPr>
              <w:t>Oraș;</w:t>
            </w:r>
          </w:p>
          <w:p w:rsidR="00700345" w:rsidRDefault="00700345" w:rsidP="00700345">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r w:rsidRPr="00700345">
              <w:rPr>
                <w:rFonts w:ascii="Times New Roman" w:hAnsi="Times New Roman" w:cs="Times New Roman"/>
                <w:sz w:val="20"/>
                <w:szCs w:val="20"/>
                <w:lang w:val="en-US"/>
              </w:rPr>
              <w:t>Parteneriate între unitățile administrativ-teritoriale eligibile mai sus menționate.</w:t>
            </w:r>
          </w:p>
          <w:p w:rsidR="00700345" w:rsidRDefault="00700345" w:rsidP="00700345">
            <w:pPr>
              <w:autoSpaceDE w:val="0"/>
              <w:spacing w:after="0" w:line="240" w:lineRule="auto"/>
              <w:rPr>
                <w:rFonts w:ascii="Times New Roman" w:hAnsi="Times New Roman" w:cs="Times New Roman"/>
                <w:sz w:val="20"/>
                <w:szCs w:val="20"/>
                <w:lang w:val="en-US"/>
              </w:rPr>
            </w:pPr>
          </w:p>
          <w:p w:rsidR="00700345" w:rsidRPr="00100066" w:rsidRDefault="00700345" w:rsidP="00700345">
            <w:pPr>
              <w:autoSpaceDE w:val="0"/>
              <w:spacing w:after="0" w:line="240" w:lineRule="auto"/>
              <w:rPr>
                <w:rFonts w:ascii="Times New Roman" w:hAnsi="Times New Roman" w:cs="Times New Roman"/>
                <w:sz w:val="20"/>
                <w:szCs w:val="20"/>
                <w:lang w:val="en-US"/>
              </w:rPr>
            </w:pPr>
            <w:r w:rsidRPr="00100066">
              <w:rPr>
                <w:rFonts w:ascii="Times New Roman" w:hAnsi="Times New Roman" w:cs="Times New Roman"/>
                <w:sz w:val="20"/>
                <w:szCs w:val="20"/>
                <w:lang w:val="en-US"/>
              </w:rPr>
              <w:t>Aria de implementare a proiectelor ce pot fi finanțate prin acest program este regiunea de dezvoltare Nord-Vest</w:t>
            </w:r>
          </w:p>
        </w:tc>
        <w:tc>
          <w:tcPr>
            <w:tcW w:w="4050" w:type="dxa"/>
            <w:tcBorders>
              <w:top w:val="single" w:sz="4" w:space="0" w:color="000000"/>
              <w:left w:val="single" w:sz="4" w:space="0" w:color="000000"/>
              <w:bottom w:val="single" w:sz="4" w:space="0" w:color="000000"/>
            </w:tcBorders>
            <w:shd w:val="clear" w:color="auto" w:fill="auto"/>
          </w:tcPr>
          <w:p w:rsidR="00700345" w:rsidRPr="00100066" w:rsidRDefault="00700345" w:rsidP="00700345">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1.</w:t>
            </w:r>
            <w:r w:rsidRPr="00100066">
              <w:rPr>
                <w:rFonts w:ascii="Times New Roman" w:hAnsi="Times New Roman" w:cs="Times New Roman"/>
                <w:sz w:val="18"/>
                <w:szCs w:val="18"/>
                <w:lang w:val="en-US"/>
              </w:rPr>
              <w:t>Sprijinirea unor proiecte inovative de diversificare a serviciilor și activităților turistice cu scopul creșterii accesibilității obiectivelor turistice prin: telegondole, telescaun, via ferrata etc.</w:t>
            </w:r>
          </w:p>
          <w:p w:rsidR="00700345" w:rsidRPr="00100066" w:rsidRDefault="00700345" w:rsidP="00700345">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2.</w:t>
            </w:r>
            <w:r w:rsidRPr="00100066">
              <w:rPr>
                <w:rFonts w:ascii="Times New Roman" w:hAnsi="Times New Roman" w:cs="Times New Roman"/>
                <w:sz w:val="18"/>
                <w:szCs w:val="18"/>
                <w:lang w:val="en-US"/>
              </w:rPr>
              <w:t>Amenajări aferente zonelor de relaxare și agrement aflate în proximitatea resurselor turistice</w:t>
            </w:r>
          </w:p>
          <w:p w:rsidR="00700345" w:rsidRPr="00100066" w:rsidRDefault="00700345" w:rsidP="00700345">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3.</w:t>
            </w:r>
            <w:r w:rsidRPr="00100066">
              <w:rPr>
                <w:rFonts w:ascii="Times New Roman" w:hAnsi="Times New Roman" w:cs="Times New Roman"/>
                <w:sz w:val="18"/>
                <w:szCs w:val="18"/>
                <w:lang w:val="en-US"/>
              </w:rPr>
              <w:t>Construirea, extinderea, modernizarea, dotarea infrastructurilor specifice, necesare valorificării resurselor turistice</w:t>
            </w:r>
          </w:p>
          <w:p w:rsidR="00700345" w:rsidRDefault="00700345" w:rsidP="00700345">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4.</w:t>
            </w:r>
            <w:r w:rsidRPr="00100066">
              <w:rPr>
                <w:rFonts w:ascii="Times New Roman" w:hAnsi="Times New Roman" w:cs="Times New Roman"/>
                <w:sz w:val="18"/>
                <w:szCs w:val="18"/>
                <w:lang w:val="en-US"/>
              </w:rPr>
              <w:t>Amenajarea traseelor turistice folosind soluții prietenoase cu mediul (trasee montane marcate, puncte de observare, foișoare, popasuri, puncte salvamont etc.)</w:t>
            </w:r>
          </w:p>
          <w:p w:rsidR="00700345" w:rsidRPr="00100066" w:rsidRDefault="00700345" w:rsidP="00700345">
            <w:pPr>
              <w:autoSpaceDE w:val="0"/>
              <w:snapToGrid w:val="0"/>
              <w:spacing w:after="0" w:line="240" w:lineRule="auto"/>
              <w:rPr>
                <w:rFonts w:ascii="Times New Roman" w:hAnsi="Times New Roman" w:cs="Times New Roman"/>
                <w:sz w:val="18"/>
                <w:szCs w:val="18"/>
                <w:lang w:val="en-US"/>
              </w:rPr>
            </w:pPr>
          </w:p>
          <w:p w:rsidR="00700345" w:rsidRDefault="00700345" w:rsidP="00700345">
            <w:pPr>
              <w:autoSpaceDE w:val="0"/>
              <w:snapToGrid w:val="0"/>
              <w:spacing w:after="0" w:line="240" w:lineRule="auto"/>
              <w:rPr>
                <w:rFonts w:ascii="Times New Roman" w:hAnsi="Times New Roman" w:cs="Times New Roman"/>
                <w:sz w:val="18"/>
                <w:szCs w:val="18"/>
                <w:lang w:val="en-US"/>
              </w:rPr>
            </w:pPr>
            <w:r w:rsidRPr="00100066">
              <w:rPr>
                <w:rFonts w:ascii="Times New Roman" w:hAnsi="Times New Roman" w:cs="Times New Roman"/>
                <w:sz w:val="18"/>
                <w:szCs w:val="18"/>
                <w:lang w:val="en-US"/>
              </w:rPr>
              <w:t>Resursa antropică, obiect al investiției propuse, trebuie să valorifice în mod obligatoriu resursa naturală identificată (ex: baraje, lacuri etc).</w:t>
            </w:r>
          </w:p>
        </w:tc>
        <w:tc>
          <w:tcPr>
            <w:tcW w:w="1620" w:type="dxa"/>
            <w:tcBorders>
              <w:top w:val="single" w:sz="4" w:space="0" w:color="000000"/>
              <w:left w:val="single" w:sz="4" w:space="0" w:color="000000"/>
              <w:bottom w:val="single" w:sz="4" w:space="0" w:color="000000"/>
            </w:tcBorders>
            <w:shd w:val="clear" w:color="auto" w:fill="auto"/>
          </w:tcPr>
          <w:p w:rsidR="00700345" w:rsidRPr="00100066" w:rsidRDefault="00700345" w:rsidP="00700345">
            <w:pPr>
              <w:autoSpaceDE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w:t>
            </w:r>
            <w:r w:rsidRPr="00100066">
              <w:rPr>
                <w:rFonts w:ascii="Times New Roman" w:eastAsia="Times New Roman" w:hAnsi="Times New Roman" w:cs="Times New Roman"/>
                <w:sz w:val="18"/>
                <w:szCs w:val="18"/>
                <w:lang w:val="en-US"/>
              </w:rPr>
              <w:t>Pentru cererile de finanțare care intră sub incidența ajutorului de stat, valoarea minimă/maximă a valorii totale nerambursabile este:</w:t>
            </w:r>
          </w:p>
          <w:p w:rsidR="00700345" w:rsidRPr="00100066" w:rsidRDefault="00700345" w:rsidP="00700345">
            <w:pPr>
              <w:autoSpaceDE w:val="0"/>
              <w:spacing w:after="0" w:line="240" w:lineRule="auto"/>
              <w:rPr>
                <w:rFonts w:ascii="Times New Roman" w:eastAsia="Times New Roman" w:hAnsi="Times New Roman" w:cs="Times New Roman"/>
                <w:sz w:val="18"/>
                <w:szCs w:val="18"/>
                <w:lang w:val="en-US"/>
              </w:rPr>
            </w:pPr>
            <w:r w:rsidRPr="00100066">
              <w:rPr>
                <w:rFonts w:ascii="Times New Roman" w:eastAsia="Times New Roman" w:hAnsi="Times New Roman" w:cs="Times New Roman"/>
                <w:sz w:val="18"/>
                <w:szCs w:val="18"/>
                <w:lang w:val="en-US"/>
              </w:rPr>
              <w:t>Plafonul minim al finanțării nerambursabile solicitate pentru un proiect este de 250.000,00 Euro</w:t>
            </w:r>
          </w:p>
          <w:p w:rsidR="00700345" w:rsidRPr="00100066" w:rsidRDefault="00700345" w:rsidP="00700345">
            <w:pPr>
              <w:autoSpaceDE w:val="0"/>
              <w:spacing w:after="0" w:line="240" w:lineRule="auto"/>
              <w:rPr>
                <w:rFonts w:ascii="Times New Roman" w:eastAsia="Times New Roman" w:hAnsi="Times New Roman" w:cs="Times New Roman"/>
                <w:sz w:val="18"/>
                <w:szCs w:val="18"/>
                <w:lang w:val="en-US"/>
              </w:rPr>
            </w:pPr>
            <w:r w:rsidRPr="00100066">
              <w:rPr>
                <w:rFonts w:ascii="Times New Roman" w:eastAsia="Times New Roman" w:hAnsi="Times New Roman" w:cs="Times New Roman"/>
                <w:sz w:val="18"/>
                <w:szCs w:val="18"/>
                <w:lang w:val="en-US"/>
              </w:rPr>
              <w:t>Plafonul maxim al finanțării nerambursabile solicitate pentru un proiect este de 2.000.000,00 Euro</w:t>
            </w:r>
          </w:p>
          <w:p w:rsidR="00700345" w:rsidRPr="00100066" w:rsidRDefault="00700345" w:rsidP="00700345">
            <w:pPr>
              <w:autoSpaceDE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w:t>
            </w:r>
            <w:r w:rsidRPr="00100066">
              <w:rPr>
                <w:rFonts w:ascii="Times New Roman" w:eastAsia="Times New Roman" w:hAnsi="Times New Roman" w:cs="Times New Roman"/>
                <w:sz w:val="18"/>
                <w:szCs w:val="18"/>
                <w:lang w:val="en-US"/>
              </w:rPr>
              <w:t>Pentru cererile de finanţare care nu intră sub incidenţa ajutorului de stat, valoarea minimă/maximă a valorii totale eligibile este:</w:t>
            </w:r>
          </w:p>
          <w:p w:rsidR="00700345" w:rsidRPr="00100066" w:rsidRDefault="00700345" w:rsidP="00700345">
            <w:pPr>
              <w:autoSpaceDE w:val="0"/>
              <w:spacing w:after="0" w:line="240" w:lineRule="auto"/>
              <w:rPr>
                <w:rFonts w:ascii="Times New Roman" w:eastAsia="Times New Roman" w:hAnsi="Times New Roman" w:cs="Times New Roman"/>
                <w:sz w:val="18"/>
                <w:szCs w:val="18"/>
                <w:lang w:val="en-US"/>
              </w:rPr>
            </w:pPr>
            <w:r w:rsidRPr="00100066">
              <w:rPr>
                <w:rFonts w:ascii="Times New Roman" w:eastAsia="Times New Roman" w:hAnsi="Times New Roman" w:cs="Times New Roman"/>
                <w:sz w:val="18"/>
                <w:szCs w:val="18"/>
                <w:lang w:val="en-US"/>
              </w:rPr>
              <w:t>Valoarea minimă eligibilă a unui proiect: 100.000,00 Euro</w:t>
            </w:r>
          </w:p>
          <w:p w:rsidR="00700345" w:rsidRDefault="00700345" w:rsidP="00700345">
            <w:pPr>
              <w:autoSpaceDE w:val="0"/>
              <w:spacing w:after="0" w:line="240" w:lineRule="auto"/>
              <w:rPr>
                <w:rFonts w:ascii="Times New Roman" w:eastAsia="Times New Roman" w:hAnsi="Times New Roman" w:cs="Times New Roman"/>
                <w:sz w:val="18"/>
                <w:szCs w:val="18"/>
                <w:lang w:val="en-US"/>
              </w:rPr>
            </w:pPr>
            <w:r w:rsidRPr="00100066">
              <w:rPr>
                <w:rFonts w:ascii="Times New Roman" w:eastAsia="Times New Roman" w:hAnsi="Times New Roman" w:cs="Times New Roman"/>
                <w:sz w:val="18"/>
                <w:szCs w:val="18"/>
                <w:lang w:val="en-US"/>
              </w:rPr>
              <w:t>Valoarea maximă eligibilă a unui proiect:</w:t>
            </w:r>
            <w:r w:rsidRPr="00100066">
              <w:rPr>
                <w:rFonts w:ascii="Times New Roman" w:eastAsia="Times New Roman" w:hAnsi="Times New Roman" w:cs="Times New Roman"/>
                <w:sz w:val="20"/>
                <w:szCs w:val="20"/>
                <w:lang w:val="en-US"/>
              </w:rPr>
              <w:t xml:space="preserve"> </w:t>
            </w:r>
            <w:r w:rsidRPr="00100066">
              <w:rPr>
                <w:rFonts w:ascii="Times New Roman" w:eastAsia="Times New Roman" w:hAnsi="Times New Roman" w:cs="Times New Roman"/>
                <w:sz w:val="18"/>
                <w:szCs w:val="18"/>
                <w:lang w:val="en-US"/>
              </w:rPr>
              <w:t>6.000.000,00 Euro</w:t>
            </w:r>
          </w:p>
        </w:tc>
        <w:tc>
          <w:tcPr>
            <w:tcW w:w="1530" w:type="dxa"/>
            <w:tcBorders>
              <w:top w:val="single" w:sz="4" w:space="0" w:color="000000"/>
              <w:left w:val="single" w:sz="4" w:space="0" w:color="000000"/>
              <w:bottom w:val="single" w:sz="4" w:space="0" w:color="000000"/>
            </w:tcBorders>
            <w:shd w:val="clear" w:color="auto" w:fill="auto"/>
          </w:tcPr>
          <w:p w:rsidR="00700345" w:rsidRPr="00100066" w:rsidRDefault="00700345" w:rsidP="0070034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100066">
              <w:rPr>
                <w:rFonts w:ascii="Times New Roman" w:hAnsi="Times New Roman" w:cs="Times New Roman"/>
                <w:sz w:val="20"/>
                <w:szCs w:val="20"/>
                <w:lang w:val="en-US"/>
              </w:rPr>
              <w:t>Pentru proiectele care vizează investiții ce nu intră sub incidența ajutorului de stat - cuantumul cofinanțării asigurate de către solicitant este de minim 2% din valoarea totală a cheltuielilor eligibile</w:t>
            </w:r>
          </w:p>
          <w:p w:rsidR="00700345" w:rsidRPr="00100066" w:rsidRDefault="00700345" w:rsidP="0070034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100066">
              <w:rPr>
                <w:rFonts w:ascii="Times New Roman" w:hAnsi="Times New Roman" w:cs="Times New Roman"/>
                <w:sz w:val="20"/>
                <w:szCs w:val="20"/>
                <w:lang w:val="en-US"/>
              </w:rPr>
              <w:t>Pentru proiectele care vizează investiții ce intră sub incidența ajutorului de stat se va lua în calcul cuantumul cofinanțării acordatestabilite în funcție de locul de implementare a proiectului:</w:t>
            </w:r>
          </w:p>
          <w:p w:rsidR="00700345" w:rsidRPr="00100066" w:rsidRDefault="00700345" w:rsidP="00700345">
            <w:pPr>
              <w:autoSpaceDE w:val="0"/>
              <w:snapToGrid w:val="0"/>
              <w:spacing w:after="0" w:line="240" w:lineRule="auto"/>
              <w:rPr>
                <w:rFonts w:ascii="Times New Roman" w:hAnsi="Times New Roman" w:cs="Times New Roman"/>
                <w:sz w:val="20"/>
                <w:szCs w:val="20"/>
                <w:lang w:val="en-US"/>
              </w:rPr>
            </w:pPr>
            <w:r w:rsidRPr="00100066">
              <w:rPr>
                <w:rFonts w:ascii="Times New Roman" w:hAnsi="Times New Roman" w:cs="Times New Roman"/>
                <w:sz w:val="20"/>
                <w:szCs w:val="20"/>
                <w:lang w:val="en-US"/>
              </w:rPr>
              <w:t>Bistrița-Năsăud, Maramureș, Satu Mare, Sălaj - 50%</w:t>
            </w:r>
          </w:p>
          <w:p w:rsidR="00700345" w:rsidRDefault="00700345" w:rsidP="00700345">
            <w:pPr>
              <w:autoSpaceDE w:val="0"/>
              <w:snapToGrid w:val="0"/>
              <w:spacing w:after="0" w:line="240" w:lineRule="auto"/>
              <w:rPr>
                <w:rFonts w:ascii="Times New Roman" w:hAnsi="Times New Roman" w:cs="Times New Roman"/>
                <w:sz w:val="20"/>
                <w:szCs w:val="20"/>
                <w:lang w:val="en-US"/>
              </w:rPr>
            </w:pPr>
            <w:r w:rsidRPr="00100066">
              <w:rPr>
                <w:rFonts w:ascii="Times New Roman" w:hAnsi="Times New Roman" w:cs="Times New Roman"/>
                <w:sz w:val="20"/>
                <w:szCs w:val="20"/>
                <w:lang w:val="en-US"/>
              </w:rPr>
              <w:t>Bihor, Cluj - 60%</w:t>
            </w:r>
          </w:p>
        </w:tc>
        <w:tc>
          <w:tcPr>
            <w:tcW w:w="1080" w:type="dxa"/>
            <w:tcBorders>
              <w:top w:val="single" w:sz="4" w:space="0" w:color="000000"/>
              <w:left w:val="single" w:sz="4" w:space="0" w:color="000000"/>
              <w:bottom w:val="single" w:sz="4" w:space="0" w:color="000000"/>
            </w:tcBorders>
            <w:shd w:val="clear" w:color="auto" w:fill="auto"/>
          </w:tcPr>
          <w:p w:rsidR="00700345" w:rsidRPr="00100066" w:rsidRDefault="00700345" w:rsidP="00B562E5">
            <w:pPr>
              <w:autoSpaceDE w:val="0"/>
              <w:spacing w:after="0" w:line="240" w:lineRule="auto"/>
              <w:rPr>
                <w:rFonts w:ascii="Times New Roman" w:hAnsi="Times New Roman" w:cs="Times New Roman"/>
                <w:sz w:val="18"/>
                <w:szCs w:val="18"/>
                <w:lang w:val="en-US"/>
              </w:rPr>
            </w:pPr>
            <w:r w:rsidRPr="00700345">
              <w:rPr>
                <w:rFonts w:ascii="Times New Roman" w:hAnsi="Times New Roman" w:cs="Times New Roman"/>
                <w:sz w:val="18"/>
                <w:szCs w:val="18"/>
                <w:lang w:val="en-US"/>
              </w:rPr>
              <w:t>29.08.2024,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700345" w:rsidRDefault="00700345" w:rsidP="00B562E5">
            <w:pPr>
              <w:autoSpaceDE w:val="0"/>
              <w:spacing w:after="0" w:line="240" w:lineRule="auto"/>
            </w:pPr>
            <w:hyperlink r:id="rId10" w:history="1">
              <w:r w:rsidRPr="00B802F3">
                <w:rPr>
                  <w:rStyle w:val="Hyperlink"/>
                </w:rPr>
                <w:t>https://www.fonduri-structurale.ro/finantari/643/imbunatatirea-infrastructurii-de-turism-in-special-in-zone-care-dispun-de-un-potential-turistic-valoros-inclusiv-imbunatatirea-accesului-catre-resursele-si-obiectivele-turistice-urban</w:t>
              </w:r>
            </w:hyperlink>
          </w:p>
          <w:p w:rsidR="00700345" w:rsidRDefault="00700345" w:rsidP="00B562E5">
            <w:pPr>
              <w:autoSpaceDE w:val="0"/>
              <w:spacing w:after="0" w:line="240" w:lineRule="auto"/>
            </w:pPr>
          </w:p>
        </w:tc>
      </w:tr>
      <w:tr w:rsidR="0014556E" w:rsidTr="00F029D9">
        <w:trPr>
          <w:cantSplit/>
          <w:trHeight w:val="6514"/>
        </w:trPr>
        <w:tc>
          <w:tcPr>
            <w:tcW w:w="1558" w:type="dxa"/>
            <w:tcBorders>
              <w:top w:val="single" w:sz="4" w:space="0" w:color="000000"/>
              <w:left w:val="single" w:sz="4" w:space="0" w:color="000000"/>
              <w:bottom w:val="single" w:sz="4" w:space="0" w:color="000000"/>
            </w:tcBorders>
            <w:shd w:val="clear" w:color="auto" w:fill="auto"/>
          </w:tcPr>
          <w:p w:rsidR="0014556E" w:rsidRDefault="0014556E" w:rsidP="0014556E">
            <w:pPr>
              <w:autoSpaceDE w:val="0"/>
              <w:spacing w:after="0" w:line="240" w:lineRule="auto"/>
            </w:pPr>
            <w:r>
              <w:rPr>
                <w:rFonts w:ascii="Times New Roman" w:hAnsi="Times New Roman" w:cs="Times New Roman"/>
                <w:b/>
                <w:sz w:val="18"/>
                <w:szCs w:val="18"/>
              </w:rPr>
              <w:lastRenderedPageBreak/>
              <w:t>Guvernul</w:t>
            </w:r>
          </w:p>
          <w:p w:rsidR="0014556E" w:rsidRDefault="0014556E" w:rsidP="0014556E">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14556E" w:rsidRDefault="0014556E" w:rsidP="0014556E">
            <w:pPr>
              <w:autoSpaceDE w:val="0"/>
              <w:spacing w:after="0" w:line="240" w:lineRule="auto"/>
              <w:rPr>
                <w:rFonts w:ascii="Times New Roman" w:hAnsi="Times New Roman" w:cs="Times New Roman"/>
                <w:b/>
                <w:sz w:val="18"/>
                <w:szCs w:val="18"/>
              </w:rPr>
            </w:pPr>
          </w:p>
          <w:p w:rsidR="0014556E" w:rsidRDefault="0014556E" w:rsidP="0014556E">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14556E" w:rsidRPr="00907114" w:rsidRDefault="0014556E" w:rsidP="0014556E">
            <w:pPr>
              <w:autoSpaceDE w:val="0"/>
              <w:spacing w:after="0" w:line="240" w:lineRule="auto"/>
              <w:rPr>
                <w:rFonts w:ascii="Times New Roman" w:hAnsi="Times New Roman" w:cs="Times New Roman"/>
                <w:b/>
                <w:sz w:val="18"/>
                <w:szCs w:val="18"/>
              </w:rPr>
            </w:pPr>
          </w:p>
          <w:p w:rsidR="0014556E" w:rsidRDefault="0014556E" w:rsidP="0014556E">
            <w:pPr>
              <w:autoSpaceDE w:val="0"/>
              <w:spacing w:after="0" w:line="240" w:lineRule="auto"/>
              <w:rPr>
                <w:rFonts w:ascii="Times New Roman" w:hAnsi="Times New Roman" w:cs="Times New Roman"/>
                <w:b/>
                <w:sz w:val="18"/>
                <w:szCs w:val="18"/>
              </w:rPr>
            </w:pPr>
            <w:r w:rsidRPr="0014556E">
              <w:rPr>
                <w:rFonts w:ascii="Times New Roman" w:hAnsi="Times New Roman" w:cs="Times New Roman"/>
                <w:b/>
                <w:sz w:val="18"/>
                <w:szCs w:val="18"/>
              </w:rPr>
              <w:t>Finanțare pentru soluții de creștere a siguranței traficului și investiții în siguranța infrastructurii rutiere</w:t>
            </w:r>
          </w:p>
          <w:p w:rsidR="0014556E" w:rsidRDefault="0014556E" w:rsidP="0014556E">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Apel:  PRNV/202</w:t>
            </w:r>
            <w:r>
              <w:rPr>
                <w:rFonts w:ascii="Times New Roman" w:hAnsi="Times New Roman" w:cs="Times New Roman"/>
                <w:b/>
                <w:sz w:val="18"/>
                <w:szCs w:val="18"/>
              </w:rPr>
              <w:t>3</w:t>
            </w:r>
            <w:r w:rsidRPr="00203D96">
              <w:rPr>
                <w:rFonts w:ascii="Times New Roman" w:hAnsi="Times New Roman" w:cs="Times New Roman"/>
                <w:b/>
                <w:sz w:val="18"/>
                <w:szCs w:val="18"/>
              </w:rPr>
              <w:t>/</w:t>
            </w:r>
            <w:r>
              <w:rPr>
                <w:rFonts w:ascii="Times New Roman" w:hAnsi="Times New Roman" w:cs="Times New Roman"/>
                <w:b/>
                <w:sz w:val="18"/>
                <w:szCs w:val="18"/>
              </w:rPr>
              <w:t>522.A</w:t>
            </w:r>
            <w:r w:rsidRPr="00203D96">
              <w:rPr>
                <w:rFonts w:ascii="Times New Roman" w:hAnsi="Times New Roman" w:cs="Times New Roman"/>
                <w:b/>
                <w:sz w:val="18"/>
                <w:szCs w:val="18"/>
              </w:rPr>
              <w:t>/1</w:t>
            </w:r>
          </w:p>
        </w:tc>
        <w:tc>
          <w:tcPr>
            <w:tcW w:w="1953" w:type="dxa"/>
            <w:tcBorders>
              <w:top w:val="single" w:sz="4" w:space="0" w:color="000000"/>
              <w:left w:val="single" w:sz="4" w:space="0" w:color="000000"/>
              <w:bottom w:val="single" w:sz="4" w:space="0" w:color="000000"/>
            </w:tcBorders>
            <w:shd w:val="clear" w:color="auto" w:fill="auto"/>
          </w:tcPr>
          <w:p w:rsidR="0014556E" w:rsidRDefault="0014556E" w:rsidP="00B562E5">
            <w:pPr>
              <w:autoSpaceDE w:val="0"/>
              <w:spacing w:after="0" w:line="240" w:lineRule="auto"/>
              <w:rPr>
                <w:rFonts w:ascii="Times New Roman" w:eastAsia="Times New Roman" w:hAnsi="Times New Roman" w:cs="Times New Roman"/>
                <w:sz w:val="20"/>
                <w:szCs w:val="20"/>
              </w:rPr>
            </w:pPr>
            <w:r w:rsidRPr="0014556E">
              <w:rPr>
                <w:rFonts w:ascii="Times New Roman" w:eastAsia="Times New Roman" w:hAnsi="Times New Roman" w:cs="Times New Roman"/>
                <w:sz w:val="20"/>
                <w:szCs w:val="20"/>
              </w:rPr>
              <w:t>Apelul de proiecte vizează soluții pentru creșterea siguranței traficului prin investiții în infrastructura rutieră.</w:t>
            </w:r>
          </w:p>
        </w:tc>
        <w:tc>
          <w:tcPr>
            <w:tcW w:w="2159" w:type="dxa"/>
            <w:tcBorders>
              <w:top w:val="single" w:sz="4" w:space="0" w:color="000000"/>
              <w:left w:val="single" w:sz="4" w:space="0" w:color="000000"/>
              <w:bottom w:val="single" w:sz="4" w:space="0" w:color="000000"/>
            </w:tcBorders>
            <w:shd w:val="clear" w:color="auto" w:fill="auto"/>
          </w:tcPr>
          <w:p w:rsidR="0014556E" w:rsidRPr="0014556E" w:rsidRDefault="0014556E" w:rsidP="0014556E">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r w:rsidRPr="0014556E">
              <w:rPr>
                <w:rFonts w:ascii="Times New Roman" w:hAnsi="Times New Roman" w:cs="Times New Roman"/>
                <w:sz w:val="20"/>
                <w:szCs w:val="20"/>
                <w:lang w:val="en-US"/>
              </w:rPr>
              <w:t>Unităţi administrativ-teritoriale (UAT), respectiv județ, municipiu reședinţă de judeţ, municipiu, oraș;</w:t>
            </w:r>
          </w:p>
          <w:p w:rsidR="0014556E" w:rsidRDefault="0014556E" w:rsidP="0014556E">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r w:rsidRPr="0014556E">
              <w:rPr>
                <w:rFonts w:ascii="Times New Roman" w:hAnsi="Times New Roman" w:cs="Times New Roman"/>
                <w:sz w:val="20"/>
                <w:szCs w:val="20"/>
                <w:lang w:val="en-US"/>
              </w:rPr>
              <w:t>Parteneriate între UAT Județ și Municipiu reședință de județ, Municipiu(i), Oraș(e), Comună(e).</w:t>
            </w:r>
          </w:p>
          <w:p w:rsidR="0014556E" w:rsidRPr="0014556E" w:rsidRDefault="0014556E" w:rsidP="0014556E">
            <w:pPr>
              <w:autoSpaceDE w:val="0"/>
              <w:spacing w:after="0" w:line="240" w:lineRule="auto"/>
              <w:rPr>
                <w:rFonts w:ascii="Times New Roman" w:hAnsi="Times New Roman" w:cs="Times New Roman"/>
                <w:sz w:val="20"/>
                <w:szCs w:val="20"/>
                <w:lang w:val="en-US"/>
              </w:rPr>
            </w:pPr>
          </w:p>
          <w:p w:rsidR="0014556E" w:rsidRDefault="0014556E" w:rsidP="0014556E">
            <w:pPr>
              <w:autoSpaceDE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Liderul de parteneriat trebuie să fie reprezentat în mod obligatoriu de UAT Județ.</w:t>
            </w:r>
          </w:p>
          <w:p w:rsidR="0014556E" w:rsidRDefault="0014556E" w:rsidP="0014556E">
            <w:pPr>
              <w:autoSpaceDE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Aria de implementare a proiectelor ce pot fi finanțate prin acest program este Regiunea de Dezvoltare Nord-Vest.</w:t>
            </w:r>
          </w:p>
        </w:tc>
        <w:tc>
          <w:tcPr>
            <w:tcW w:w="4050" w:type="dxa"/>
            <w:tcBorders>
              <w:top w:val="single" w:sz="4" w:space="0" w:color="000000"/>
              <w:left w:val="single" w:sz="4" w:space="0" w:color="000000"/>
              <w:bottom w:val="single" w:sz="4" w:space="0" w:color="000000"/>
            </w:tcBorders>
            <w:shd w:val="clear" w:color="auto" w:fill="auto"/>
          </w:tcPr>
          <w:p w:rsidR="0014556E" w:rsidRP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1.</w:t>
            </w:r>
            <w:r w:rsidRPr="0014556E">
              <w:rPr>
                <w:rFonts w:ascii="Times New Roman" w:hAnsi="Times New Roman" w:cs="Times New Roman"/>
                <w:sz w:val="18"/>
                <w:szCs w:val="18"/>
                <w:lang w:val="en-US"/>
              </w:rPr>
              <w:t xml:space="preserve">Amenajare intersecții la nivel între căile de comunicații rutiere; </w:t>
            </w:r>
          </w:p>
          <w:p w:rsidR="0014556E" w:rsidRP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2.</w:t>
            </w:r>
            <w:r w:rsidRPr="0014556E">
              <w:rPr>
                <w:rFonts w:ascii="Times New Roman" w:hAnsi="Times New Roman" w:cs="Times New Roman"/>
                <w:sz w:val="18"/>
                <w:szCs w:val="18"/>
                <w:lang w:val="en-US"/>
              </w:rPr>
              <w:t>Amenajare intersecții denivelate între căile de comunicații;</w:t>
            </w:r>
          </w:p>
          <w:p w:rsidR="0014556E" w:rsidRP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3.</w:t>
            </w:r>
            <w:r w:rsidRPr="0014556E">
              <w:rPr>
                <w:rFonts w:ascii="Times New Roman" w:hAnsi="Times New Roman" w:cs="Times New Roman"/>
                <w:sz w:val="18"/>
                <w:szCs w:val="18"/>
                <w:lang w:val="en-US"/>
              </w:rPr>
              <w:t xml:space="preserve">Alte soluții inginerești/categorii de elemente privind creșterea siguranței traficului; </w:t>
            </w:r>
          </w:p>
          <w:p w:rsid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4.</w:t>
            </w:r>
            <w:r w:rsidRPr="0014556E">
              <w:rPr>
                <w:rFonts w:ascii="Times New Roman" w:hAnsi="Times New Roman" w:cs="Times New Roman"/>
                <w:sz w:val="18"/>
                <w:szCs w:val="18"/>
                <w:lang w:val="en-US"/>
              </w:rPr>
              <w:t>Soluții inginerești/categorii de elemente destinate prevenirii incidentelor/ accidentelor cauzate de fauna sălbatică.</w:t>
            </w:r>
          </w:p>
        </w:tc>
        <w:tc>
          <w:tcPr>
            <w:tcW w:w="1620" w:type="dxa"/>
            <w:tcBorders>
              <w:top w:val="single" w:sz="4" w:space="0" w:color="000000"/>
              <w:left w:val="single" w:sz="4" w:space="0" w:color="000000"/>
              <w:bottom w:val="single" w:sz="4" w:space="0" w:color="000000"/>
            </w:tcBorders>
            <w:shd w:val="clear" w:color="auto" w:fill="auto"/>
          </w:tcPr>
          <w:p w:rsidR="0014556E" w:rsidRDefault="0014556E" w:rsidP="00700345">
            <w:pPr>
              <w:autoSpaceDE w:val="0"/>
              <w:spacing w:after="0" w:line="240" w:lineRule="auto"/>
              <w:rPr>
                <w:rFonts w:ascii="Times New Roman" w:eastAsia="Times New Roman" w:hAnsi="Times New Roman" w:cs="Times New Roman"/>
                <w:sz w:val="18"/>
                <w:szCs w:val="18"/>
                <w:lang w:val="en-US"/>
              </w:rPr>
            </w:pPr>
            <w:r w:rsidRPr="0014556E">
              <w:rPr>
                <w:rFonts w:ascii="Times New Roman" w:eastAsia="Times New Roman" w:hAnsi="Times New Roman" w:cs="Times New Roman"/>
                <w:sz w:val="18"/>
                <w:szCs w:val="18"/>
                <w:lang w:val="en-US"/>
              </w:rPr>
              <w:t>Valoarea minimă eligibilă a unui proiect este de 500.000,00 euro, iar valoarea maximă eligibilă a unui proiect este de 15.000.000,00 euro.</w:t>
            </w:r>
          </w:p>
        </w:tc>
        <w:tc>
          <w:tcPr>
            <w:tcW w:w="1530" w:type="dxa"/>
            <w:tcBorders>
              <w:top w:val="single" w:sz="4" w:space="0" w:color="000000"/>
              <w:left w:val="single" w:sz="4" w:space="0" w:color="000000"/>
              <w:bottom w:val="single" w:sz="4" w:space="0" w:color="000000"/>
            </w:tcBorders>
            <w:shd w:val="clear" w:color="auto" w:fill="auto"/>
          </w:tcPr>
          <w:p w:rsidR="0014556E" w:rsidRDefault="0014556E" w:rsidP="00700345">
            <w:pPr>
              <w:autoSpaceDE w:val="0"/>
              <w:snapToGrid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Procentul de cofinanțare acordat de către solicitant este de minim 2% din valoarea cheltuielilor eligibile.</w:t>
            </w:r>
          </w:p>
        </w:tc>
        <w:tc>
          <w:tcPr>
            <w:tcW w:w="1080" w:type="dxa"/>
            <w:tcBorders>
              <w:top w:val="single" w:sz="4" w:space="0" w:color="000000"/>
              <w:left w:val="single" w:sz="4" w:space="0" w:color="000000"/>
              <w:bottom w:val="single" w:sz="4" w:space="0" w:color="000000"/>
            </w:tcBorders>
            <w:shd w:val="clear" w:color="auto" w:fill="auto"/>
          </w:tcPr>
          <w:p w:rsidR="0014556E" w:rsidRPr="00700345" w:rsidRDefault="0014556E" w:rsidP="00B562E5">
            <w:pPr>
              <w:autoSpaceDE w:val="0"/>
              <w:spacing w:after="0" w:line="240" w:lineRule="auto"/>
              <w:rPr>
                <w:rFonts w:ascii="Times New Roman" w:hAnsi="Times New Roman" w:cs="Times New Roman"/>
                <w:sz w:val="18"/>
                <w:szCs w:val="18"/>
                <w:lang w:val="en-US"/>
              </w:rPr>
            </w:pPr>
            <w:r w:rsidRPr="0014556E">
              <w:rPr>
                <w:rFonts w:ascii="Times New Roman" w:hAnsi="Times New Roman" w:cs="Times New Roman"/>
                <w:sz w:val="18"/>
                <w:szCs w:val="18"/>
                <w:lang w:val="en-US"/>
              </w:rPr>
              <w:t>16.09.2024,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14556E" w:rsidRDefault="0014556E" w:rsidP="00B562E5">
            <w:pPr>
              <w:autoSpaceDE w:val="0"/>
              <w:spacing w:after="0" w:line="240" w:lineRule="auto"/>
            </w:pPr>
            <w:hyperlink r:id="rId11" w:history="1">
              <w:r w:rsidRPr="00B802F3">
                <w:rPr>
                  <w:rStyle w:val="Hyperlink"/>
                </w:rPr>
                <w:t>https://www.fonduri-structurale.ro/finantari/170/finantare-pentru-solutii-de-crestere-a-sigurantei-traficului-si-investitii-in-siguranta-infrastructurii-rutiere</w:t>
              </w:r>
            </w:hyperlink>
          </w:p>
          <w:p w:rsidR="0014556E" w:rsidRDefault="0014556E" w:rsidP="00B562E5">
            <w:pPr>
              <w:autoSpaceDE w:val="0"/>
              <w:spacing w:after="0" w:line="240" w:lineRule="auto"/>
            </w:pPr>
          </w:p>
        </w:tc>
      </w:tr>
      <w:tr w:rsidR="008B178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pacing w:after="0" w:line="240" w:lineRule="auto"/>
            </w:pPr>
            <w:r>
              <w:rPr>
                <w:rFonts w:ascii="Times New Roman" w:hAnsi="Times New Roman" w:cs="Times New Roman"/>
                <w:b/>
                <w:sz w:val="18"/>
                <w:szCs w:val="18"/>
              </w:rPr>
              <w:lastRenderedPageBreak/>
              <w:t>Guvernul</w:t>
            </w:r>
          </w:p>
          <w:p w:rsidR="008B178F" w:rsidRDefault="008B178F"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B562E5">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Ministerul Mediului, Apelor și Pădurilor</w:t>
            </w:r>
          </w:p>
          <w:p w:rsidR="008B178F" w:rsidRDefault="008B178F" w:rsidP="00B562E5">
            <w:pPr>
              <w:autoSpaceDE w:val="0"/>
              <w:spacing w:after="0" w:line="240" w:lineRule="auto"/>
              <w:rPr>
                <w:rFonts w:ascii="Times New Roman" w:hAnsi="Times New Roman" w:cs="Times New Roman"/>
                <w:b/>
                <w:sz w:val="18"/>
                <w:szCs w:val="18"/>
              </w:rPr>
            </w:pPr>
          </w:p>
          <w:p w:rsidR="008B178F" w:rsidRPr="00655ADF" w:rsidRDefault="008B178F" w:rsidP="00B562E5">
            <w:pPr>
              <w:rPr>
                <w:rFonts w:ascii="Times New Roman" w:hAnsi="Times New Roman" w:cs="Times New Roman"/>
                <w:b/>
                <w:sz w:val="18"/>
                <w:szCs w:val="18"/>
              </w:rPr>
            </w:pPr>
            <w:r w:rsidRPr="00655ADF">
              <w:rPr>
                <w:rFonts w:ascii="Times New Roman" w:hAnsi="Times New Roman" w:cs="Times New Roman"/>
                <w:b/>
                <w:sz w:val="18"/>
                <w:szCs w:val="18"/>
              </w:rPr>
              <w:t xml:space="preserve">Programul Rabla Clasic - </w:t>
            </w:r>
            <w:r w:rsidRPr="008B178F">
              <w:rPr>
                <w:rFonts w:ascii="Times New Roman" w:hAnsi="Times New Roman" w:cs="Times New Roman"/>
                <w:b/>
                <w:sz w:val="18"/>
                <w:szCs w:val="18"/>
              </w:rPr>
              <w:t>2024</w:t>
            </w:r>
          </w:p>
          <w:p w:rsidR="008B178F" w:rsidRDefault="008B178F" w:rsidP="00B562E5">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Scopul programului îl constituie îmbunătăţirea calităţii mediului prin înnoirea parcului auto naţional.</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Bugetul alocat Programului Rabla Clasic este de 300 de milioane. </w:t>
            </w:r>
          </w:p>
          <w:p w:rsid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 Programul se va desfășura în etape, în limita sumelor alocate, astfel:</w:t>
            </w:r>
          </w:p>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Etapa I </w:t>
            </w: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19 martie – 19 aprilie 2024</w:t>
            </w: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Persoane juridice – 60.000.000 lei</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UAT-uri și instituții publice – 60.000.000 lei</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Etapa II 19 martie – 25 noiembrie 2024</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555EAF" w:rsidRDefault="008B178F" w:rsidP="008B178F">
            <w:pPr>
              <w:autoSpaceDE w:val="0"/>
              <w:spacing w:after="0" w:line="240" w:lineRule="auto"/>
              <w:rPr>
                <w:rFonts w:ascii="Times New Roman" w:eastAsia="Times New Roman" w:hAnsi="Times New Roman" w:cs="Times New Roman"/>
                <w:sz w:val="24"/>
                <w:szCs w:val="24"/>
                <w:lang w:val="en-US"/>
              </w:rPr>
            </w:pPr>
            <w:r w:rsidRPr="008B178F">
              <w:rPr>
                <w:rFonts w:ascii="Times New Roman" w:eastAsia="Times New Roman" w:hAnsi="Times New Roman" w:cs="Times New Roman"/>
                <w:lang w:val="en-US"/>
              </w:rPr>
              <w:t>Persoane fizice – 180.000.000 lei</w:t>
            </w:r>
          </w:p>
        </w:tc>
        <w:tc>
          <w:tcPr>
            <w:tcW w:w="2159" w:type="dxa"/>
            <w:tcBorders>
              <w:top w:val="single" w:sz="4" w:space="0" w:color="000000"/>
              <w:left w:val="single" w:sz="4" w:space="0" w:color="000000"/>
              <w:bottom w:val="single" w:sz="4" w:space="0" w:color="000000"/>
            </w:tcBorders>
            <w:shd w:val="clear" w:color="auto" w:fill="auto"/>
          </w:tcPr>
          <w:p w:rsidR="008B178F" w:rsidRPr="00D4415B" w:rsidRDefault="008B178F" w:rsidP="00B562E5">
            <w:pPr>
              <w:autoSpaceDE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Persoane juridice, persoane fizice, UAT-uri și instituții publice</w:t>
            </w:r>
          </w:p>
        </w:tc>
        <w:tc>
          <w:tcPr>
            <w:tcW w:w="4050" w:type="dxa"/>
            <w:tcBorders>
              <w:top w:val="single" w:sz="4" w:space="0" w:color="000000"/>
              <w:left w:val="single" w:sz="4" w:space="0" w:color="000000"/>
              <w:bottom w:val="single" w:sz="4" w:space="0" w:color="000000"/>
            </w:tcBorders>
            <w:shd w:val="clear" w:color="auto" w:fill="auto"/>
          </w:tcPr>
          <w:p w:rsidR="008B178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Valabilitatea notei de înscriere în cadrul Programului Rabla Clasic este de 120 de zile de la data emiterii, timp în care beneficiarii vor derula toate procedurile specifice de achiziție a autovehiculului nou.</w:t>
            </w:r>
          </w:p>
          <w:p w:rsidR="008B178F" w:rsidRPr="00655AD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La prima de casare se pot adăuga următoarele ecobonusuri, astfel:</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exceptând motocicletele, al cărui sistem de propulsie generează maximum 120 g CO2/km în sistem WLTP;</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exceptând motocicletele, echipat cu motorizare GPL/GNC;</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3.000 lei la achiziţionarea unui autovehicul nou, exceptând motocicletele, echipat cu sistem de propulsie hibrid;</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ecobonus în valoare de 1.500 lei, pentru casarea fiecărui autovehicul uzat cu o vechime de cel puțin 15 ani de la data fabricației și/sau care are norma de poluare Euro 3 sau inferioară. </w:t>
            </w:r>
          </w:p>
          <w:p w:rsidR="008B178F" w:rsidRPr="00655AD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Pentru achiziționarea de motociclete noi al căror sistem de propulsie generează maximum 120 g CO_2/km în sistem WMTC, în schimbul predării spre casare a unui autovehicul uzat, se acordă o primă de casare de 7.000 lei, la care se pot adăuga:</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motocicletă al cărui sistem de propulsie generează maximum 90 g CO2/km în sistem WMTC;</w:t>
            </w:r>
          </w:p>
          <w:p w:rsidR="008B178F" w:rsidRPr="00555EA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casarea unui autovehicul uzat cu o vechime de cel puțin 15 ani de la data fabricației și/sau care are norma de poluare Euro 3 sau inferioară.</w:t>
            </w:r>
          </w:p>
        </w:tc>
        <w:tc>
          <w:tcPr>
            <w:tcW w:w="1620" w:type="dxa"/>
            <w:tcBorders>
              <w:top w:val="single" w:sz="4" w:space="0" w:color="000000"/>
              <w:left w:val="single" w:sz="4" w:space="0" w:color="000000"/>
              <w:bottom w:val="single" w:sz="4" w:space="0" w:color="000000"/>
            </w:tcBorders>
            <w:shd w:val="clear" w:color="auto" w:fill="auto"/>
          </w:tcPr>
          <w:p w:rsidR="008B178F" w:rsidRPr="00655AD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În ceea ce privește Programul Rabla Clasic, prima de casare este de 7.000 lei, respectiv 10.000 lei în cazul predării a 2 autovehicule uzate.</w:t>
            </w:r>
          </w:p>
          <w:p w:rsidR="008B178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Prima de casare se acordă pentru autovehiculul nou, exceptând motocicletele, al cărui sistem de propulsie generează maximum 155 g CO_2/km în sistem WLTP.</w:t>
            </w:r>
          </w:p>
          <w:p w:rsidR="008B178F" w:rsidRDefault="008B178F" w:rsidP="00B562E5">
            <w:pPr>
              <w:autoSpaceDE w:val="0"/>
              <w:spacing w:after="0" w:line="240" w:lineRule="auto"/>
              <w:rPr>
                <w:rFonts w:ascii="Times New Roman" w:eastAsia="Times New Roman" w:hAnsi="Times New Roman" w:cs="Times New Roman"/>
                <w:sz w:val="18"/>
                <w:szCs w:val="18"/>
                <w:lang w:val="en-US"/>
              </w:rPr>
            </w:pPr>
          </w:p>
          <w:p w:rsidR="008B178F" w:rsidRPr="00555EA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Instituțiile publice și unitățile administrativ-teritoriale pot beneficia de prima de casare în cuantum de 7.000 lei la achiziţionarea unui autovehicul nou, fără a fi obligate să predea spre casare un autovehicul uzat. În situația în care optează pentru achiziţionarea unui autovehicul nou în schimbul casării a două autovehicule uzate, vor beneficia de prima de casare de 10.000 lei.</w:t>
            </w:r>
          </w:p>
        </w:tc>
        <w:tc>
          <w:tcPr>
            <w:tcW w:w="153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E80796"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Etapa I </w:t>
            </w:r>
          </w:p>
          <w:p w:rsidR="00E80796" w:rsidRPr="008B178F"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19 aprilie 2024</w:t>
            </w:r>
          </w:p>
          <w:p w:rsidR="00E80796" w:rsidRPr="008B178F"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Etapa II 25 noiembrie 2024</w:t>
            </w:r>
          </w:p>
          <w:p w:rsidR="008B178F" w:rsidRPr="00D4415B" w:rsidRDefault="008B178F" w:rsidP="00B562E5">
            <w:pPr>
              <w:autoSpaceDE w:val="0"/>
              <w:spacing w:after="0" w:line="240" w:lineRule="auto"/>
              <w:rPr>
                <w:rFonts w:ascii="Times New Roman" w:hAnsi="Times New Roman" w:cs="Times New Roman"/>
                <w:sz w:val="18"/>
                <w:szCs w:val="18"/>
                <w:lang w:val="en-US"/>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8B178F" w:rsidRDefault="00EF408F" w:rsidP="00B562E5">
            <w:pPr>
              <w:autoSpaceDE w:val="0"/>
              <w:spacing w:after="0" w:line="240" w:lineRule="auto"/>
            </w:pPr>
            <w:hyperlink r:id="rId12" w:history="1">
              <w:r w:rsidR="00E80796" w:rsidRPr="00225A44">
                <w:rPr>
                  <w:rStyle w:val="Hyperlink"/>
                </w:rPr>
                <w:t>https://www.fonduri-structurale.ro/alte-finantari/866/programul-rabla-clasic-2024</w:t>
              </w:r>
            </w:hyperlink>
          </w:p>
          <w:p w:rsidR="00E80796" w:rsidRDefault="00E80796" w:rsidP="00B562E5">
            <w:pPr>
              <w:autoSpaceDE w:val="0"/>
              <w:spacing w:after="0" w:line="240" w:lineRule="auto"/>
            </w:pPr>
          </w:p>
        </w:tc>
      </w:tr>
      <w:tr w:rsidR="008B178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pacing w:after="0" w:line="240" w:lineRule="auto"/>
            </w:pPr>
            <w:r>
              <w:rPr>
                <w:rFonts w:ascii="Times New Roman" w:hAnsi="Times New Roman" w:cs="Times New Roman"/>
                <w:b/>
                <w:sz w:val="18"/>
                <w:szCs w:val="18"/>
              </w:rPr>
              <w:lastRenderedPageBreak/>
              <w:t>Guvernul</w:t>
            </w:r>
          </w:p>
          <w:p w:rsidR="008B178F" w:rsidRDefault="008B178F"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B562E5">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Ministerul Mediului, Apelor și Pădurilor</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E80796">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 xml:space="preserve">Programul Rabla Plus - </w:t>
            </w:r>
            <w:r w:rsidR="00E80796">
              <w:rPr>
                <w:rFonts w:ascii="Times New Roman" w:hAnsi="Times New Roman" w:cs="Times New Roman"/>
                <w:b/>
                <w:sz w:val="18"/>
                <w:szCs w:val="18"/>
              </w:rPr>
              <w:t>2024</w:t>
            </w:r>
          </w:p>
          <w:p w:rsidR="008B178F" w:rsidRDefault="008B178F" w:rsidP="00B562E5">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8B178F" w:rsidRPr="00E80796" w:rsidRDefault="008B178F"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Scopul programului îl constituie îmbunătăţirea calităţii mediului prin achiziţionarea de autovehicule noi pur electrice sau autovehicule noi electrice hibride.</w:t>
            </w:r>
          </w:p>
          <w:p w:rsidR="00E80796" w:rsidRDefault="008B178F"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 xml:space="preserve">Bugetul alocat Programului Rabla Plus este de </w:t>
            </w:r>
            <w:r w:rsidR="00E80796" w:rsidRPr="00E80796">
              <w:rPr>
                <w:rFonts w:ascii="Times New Roman" w:eastAsia="Times New Roman" w:hAnsi="Times New Roman" w:cs="Times New Roman"/>
                <w:sz w:val="20"/>
                <w:szCs w:val="20"/>
                <w:lang w:val="en-US"/>
              </w:rPr>
              <w:t xml:space="preserve">1 miliard de lei . </w:t>
            </w:r>
          </w:p>
          <w:p w:rsidR="00E80796" w:rsidRDefault="00E80796"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Programul se va desfășura în etape, în limita sumelor alocate, astfel:</w:t>
            </w:r>
          </w:p>
          <w:p w:rsidR="00E80796" w:rsidRPr="00E80796" w:rsidRDefault="00E80796" w:rsidP="00E80796">
            <w:pPr>
              <w:autoSpaceDE w:val="0"/>
              <w:spacing w:after="0" w:line="240" w:lineRule="auto"/>
              <w:rPr>
                <w:rFonts w:ascii="Times New Roman" w:eastAsia="Times New Roman" w:hAnsi="Times New Roman" w:cs="Times New Roman"/>
                <w:sz w:val="20"/>
                <w:szCs w:val="20"/>
                <w:lang w:val="en-US"/>
              </w:rPr>
            </w:pP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19 aprilie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 – 140.000.000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UAT-uri și instituții publice –140.000.000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18 august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fizice – 420.000.000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19 septembrie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 – 60.000.000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UAT-uri și instituții publice – 60.000.000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25 noiembrie 2024</w:t>
            </w:r>
          </w:p>
          <w:p w:rsidR="008B178F" w:rsidRPr="00E80796" w:rsidRDefault="00E80796"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18"/>
                <w:szCs w:val="18"/>
                <w:lang w:val="en-US"/>
              </w:rPr>
              <w:t>Persoane fizice – 180.000.000 lei</w:t>
            </w:r>
          </w:p>
        </w:tc>
        <w:tc>
          <w:tcPr>
            <w:tcW w:w="2159" w:type="dxa"/>
            <w:tcBorders>
              <w:top w:val="single" w:sz="4" w:space="0" w:color="000000"/>
              <w:left w:val="single" w:sz="4" w:space="0" w:color="000000"/>
              <w:bottom w:val="single" w:sz="4" w:space="0" w:color="000000"/>
            </w:tcBorders>
            <w:shd w:val="clear" w:color="auto" w:fill="auto"/>
          </w:tcPr>
          <w:p w:rsidR="008B178F" w:rsidRPr="00E80796" w:rsidRDefault="008B178F" w:rsidP="00B562E5">
            <w:pPr>
              <w:autoSpaceDE w:val="0"/>
              <w:spacing w:after="0" w:line="240" w:lineRule="auto"/>
              <w:rPr>
                <w:rFonts w:ascii="Times New Roman" w:hAnsi="Times New Roman" w:cs="Times New Roman"/>
                <w:lang w:val="en-US"/>
              </w:rPr>
            </w:pPr>
            <w:r w:rsidRPr="00E80796">
              <w:rPr>
                <w:rFonts w:ascii="Times New Roman" w:hAnsi="Times New Roman" w:cs="Times New Roman"/>
                <w:lang w:val="en-US"/>
              </w:rPr>
              <w:t>Persoane juridice, persoane fizice, UAT-uri și instituții publice</w:t>
            </w:r>
          </w:p>
        </w:tc>
        <w:tc>
          <w:tcPr>
            <w:tcW w:w="405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Valabilitatea notei de înscriere în cadrul Programului Rabla Plus este de 120 de zile de la data emiterii, timp în care beneficiarii vor derula toate procedurile specifice de achiziție a autovehiculului nou.</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În cadrul Programului Rabla Plus, solicitantul beneficiază de ecotichet la achiziţionarea unui autovehicul nou în schimbul predării spre casare a cel puţin unui autovehicul uzat. Se pot preda spre casare maximum două autovehicule uzate.</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1C557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Ecotichetul se acordă pentru achiziționarea unui autovehicul electric a cărui valoare nu depășește suma de 7</w:t>
            </w:r>
            <w:r w:rsidR="001C5575">
              <w:rPr>
                <w:rFonts w:ascii="Times New Roman" w:hAnsi="Times New Roman" w:cs="Times New Roman"/>
                <w:sz w:val="20"/>
                <w:szCs w:val="20"/>
                <w:lang w:val="en-US"/>
              </w:rPr>
              <w:t>0</w:t>
            </w:r>
            <w:r w:rsidRPr="00655ADF">
              <w:rPr>
                <w:rFonts w:ascii="Times New Roman" w:hAnsi="Times New Roman" w:cs="Times New Roman"/>
                <w:sz w:val="20"/>
                <w:szCs w:val="20"/>
                <w:lang w:val="en-US"/>
              </w:rPr>
              <w:t>.000 euro, cu TVA inclus.</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Instituțiile publice și unitățile administrativ-teritoriale beneficiază de ecotichet în cuantum de 120.000 lei la achiziţionarea unui autovehicul nou, fără a fi obligate să predea spre casare un autovehicul uzat.</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1C557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Ecotichetul pentru achiziționarea unei motociclete electrice este de </w:t>
            </w:r>
            <w:r w:rsidR="001C5575">
              <w:rPr>
                <w:rFonts w:ascii="Times New Roman" w:hAnsi="Times New Roman" w:cs="Times New Roman"/>
                <w:sz w:val="20"/>
                <w:szCs w:val="20"/>
                <w:lang w:val="en-US"/>
              </w:rPr>
              <w:t>13</w:t>
            </w:r>
            <w:r w:rsidRPr="00655ADF">
              <w:rPr>
                <w:rFonts w:ascii="Times New Roman" w:hAnsi="Times New Roman" w:cs="Times New Roman"/>
                <w:sz w:val="20"/>
                <w:szCs w:val="20"/>
                <w:lang w:val="en-US"/>
              </w:rPr>
              <w:t>.000 lei.</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1C5575" w:rsidP="00B562E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Ca noutate, începând de anul acesta, autovehiculele achiziționate în cadrul acestor programe, vor avea aplicat un autocolant, ca element de vizibilitate, pe care beneficiarii vor trebui să îl mențină până la finali</w:t>
            </w:r>
            <w:r>
              <w:rPr>
                <w:rFonts w:ascii="Times New Roman" w:hAnsi="Times New Roman" w:cs="Times New Roman"/>
                <w:sz w:val="20"/>
                <w:szCs w:val="20"/>
                <w:lang w:val="en-US"/>
              </w:rPr>
              <w:t>zarea perioadei de monitorizare</w:t>
            </w:r>
            <w:r w:rsidR="008B178F" w:rsidRPr="00655ADF">
              <w:rPr>
                <w:rFonts w:ascii="Times New Roman" w:hAnsi="Times New Roman" w:cs="Times New Roman"/>
                <w:sz w:val="20"/>
                <w:szCs w:val="20"/>
                <w:lang w:val="en-US"/>
              </w:rPr>
              <w:t>.</w:t>
            </w:r>
          </w:p>
        </w:tc>
        <w:tc>
          <w:tcPr>
            <w:tcW w:w="1620" w:type="dxa"/>
            <w:tcBorders>
              <w:top w:val="single" w:sz="4" w:space="0" w:color="000000"/>
              <w:left w:val="single" w:sz="4" w:space="0" w:color="000000"/>
              <w:bottom w:val="single" w:sz="4" w:space="0" w:color="000000"/>
            </w:tcBorders>
            <w:shd w:val="clear" w:color="auto" w:fill="auto"/>
          </w:tcPr>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Cuantumul ecotichetului, indiferent de numărul de autovehicule uzate predate spre casare, este de:</w:t>
            </w: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25.500 lei pentru achiziţionarea unui autovehicul nou pur electric sau a unui autovehicul nou cu pilă de combustie cu hidrogen, exceptând motocicleta;</w:t>
            </w: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13.000 lei pentru achiziţionarea unui autovehicul nou electric hibrid, exceptând motocicleta, care generează maximum 80 g CO_2/km în sistem WLTP;</w:t>
            </w:r>
          </w:p>
          <w:p w:rsidR="008B178F" w:rsidRPr="00655ADF" w:rsidRDefault="001C5575" w:rsidP="001C5575">
            <w:pPr>
              <w:autoSpaceDE w:val="0"/>
              <w:spacing w:after="0" w:line="240" w:lineRule="auto"/>
              <w:rPr>
                <w:rFonts w:ascii="Times New Roman" w:eastAsia="Times New Roman" w:hAnsi="Times New Roman" w:cs="Times New Roman"/>
                <w:sz w:val="18"/>
                <w:szCs w:val="18"/>
                <w:lang w:val="en-US"/>
              </w:rPr>
            </w:pPr>
            <w:r w:rsidRPr="001C5575">
              <w:rPr>
                <w:rFonts w:ascii="Times New Roman" w:hAnsi="Times New Roman" w:cs="Times New Roman"/>
                <w:sz w:val="20"/>
                <w:szCs w:val="20"/>
                <w:lang w:val="en-US"/>
              </w:rPr>
              <w:t>13.000 lei pentru achiziţionarea unei motociclete electrice.</w:t>
            </w:r>
          </w:p>
        </w:tc>
        <w:tc>
          <w:tcPr>
            <w:tcW w:w="153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19 aprilie 2024</w:t>
            </w:r>
            <w:r>
              <w:rPr>
                <w:rFonts w:ascii="Times New Roman" w:eastAsia="Times New Roman" w:hAnsi="Times New Roman" w:cs="Times New Roman"/>
                <w:sz w:val="18"/>
                <w:szCs w:val="18"/>
                <w:lang w:val="en-US"/>
              </w:rPr>
              <w:t>:</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w:t>
            </w:r>
            <w:r>
              <w:rPr>
                <w:rFonts w:ascii="Times New Roman" w:eastAsia="Times New Roman" w:hAnsi="Times New Roman" w:cs="Times New Roman"/>
                <w:sz w:val="18"/>
                <w:szCs w:val="18"/>
                <w:lang w:val="en-US"/>
              </w:rPr>
              <w:t>;</w:t>
            </w:r>
            <w:r w:rsidRPr="00E80796">
              <w:rPr>
                <w:rFonts w:ascii="Times New Roman" w:eastAsia="Times New Roman" w:hAnsi="Times New Roman" w:cs="Times New Roman"/>
                <w:sz w:val="18"/>
                <w:szCs w:val="18"/>
                <w:lang w:val="en-US"/>
              </w:rPr>
              <w:t xml:space="preserve"> UAT-uri și instituții publice Etapa I: 19 martie – 18 august 2024</w:t>
            </w:r>
            <w:r>
              <w:rPr>
                <w:rFonts w:ascii="Times New Roman" w:eastAsia="Times New Roman" w:hAnsi="Times New Roman" w:cs="Times New Roman"/>
                <w:sz w:val="18"/>
                <w:szCs w:val="18"/>
                <w:lang w:val="en-US"/>
              </w:rPr>
              <w:t>:</w:t>
            </w:r>
          </w:p>
          <w:p w:rsidR="001C5575"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 xml:space="preserve">Persoane fizice </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19 septembrie 2024</w:t>
            </w:r>
            <w:r>
              <w:rPr>
                <w:rFonts w:ascii="Times New Roman" w:eastAsia="Times New Roman" w:hAnsi="Times New Roman" w:cs="Times New Roman"/>
                <w:sz w:val="18"/>
                <w:szCs w:val="18"/>
                <w:lang w:val="en-US"/>
              </w:rPr>
              <w:t>:</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w:t>
            </w:r>
            <w:r>
              <w:rPr>
                <w:rFonts w:ascii="Times New Roman" w:eastAsia="Times New Roman" w:hAnsi="Times New Roman" w:cs="Times New Roman"/>
                <w:sz w:val="18"/>
                <w:szCs w:val="18"/>
                <w:lang w:val="en-US"/>
              </w:rPr>
              <w:t>;</w:t>
            </w:r>
            <w:r w:rsidRPr="00E80796">
              <w:rPr>
                <w:rFonts w:ascii="Times New Roman" w:eastAsia="Times New Roman" w:hAnsi="Times New Roman" w:cs="Times New Roman"/>
                <w:sz w:val="18"/>
                <w:szCs w:val="18"/>
                <w:lang w:val="en-US"/>
              </w:rPr>
              <w:t xml:space="preserve"> UAT-uri și instituții publice Etapa a II-a: 19 august – 25 noiembrie 2024</w:t>
            </w:r>
          </w:p>
          <w:p w:rsidR="008B178F" w:rsidRPr="00655ADF" w:rsidRDefault="001C5575" w:rsidP="001C5575">
            <w:pPr>
              <w:autoSpaceDE w:val="0"/>
              <w:spacing w:after="0" w:line="240" w:lineRule="auto"/>
              <w:rPr>
                <w:rFonts w:ascii="Times New Roman" w:hAnsi="Times New Roman" w:cs="Times New Roman"/>
                <w:sz w:val="18"/>
                <w:szCs w:val="18"/>
                <w:lang w:val="en-US"/>
              </w:rPr>
            </w:pPr>
            <w:r w:rsidRPr="00E80796">
              <w:rPr>
                <w:rFonts w:ascii="Times New Roman" w:eastAsia="Times New Roman" w:hAnsi="Times New Roman" w:cs="Times New Roman"/>
                <w:sz w:val="18"/>
                <w:szCs w:val="18"/>
                <w:lang w:val="en-US"/>
              </w:rPr>
              <w:t xml:space="preserve">Persoane fizice </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8B178F" w:rsidRDefault="00EF408F" w:rsidP="00B562E5">
            <w:pPr>
              <w:autoSpaceDE w:val="0"/>
              <w:spacing w:after="0" w:line="240" w:lineRule="auto"/>
            </w:pPr>
            <w:hyperlink r:id="rId13" w:history="1">
              <w:r w:rsidR="001C5575" w:rsidRPr="00225A44">
                <w:rPr>
                  <w:rStyle w:val="Hyperlink"/>
                </w:rPr>
                <w:t>https://www.fonduri-structurale.ro/alte-finantari/867/programul-rabla-plus-2024</w:t>
              </w:r>
            </w:hyperlink>
          </w:p>
          <w:p w:rsidR="001C5575" w:rsidRDefault="001C5575" w:rsidP="00B562E5">
            <w:pPr>
              <w:autoSpaceDE w:val="0"/>
              <w:spacing w:after="0" w:line="240" w:lineRule="auto"/>
            </w:pPr>
          </w:p>
        </w:tc>
      </w:tr>
      <w:tr w:rsidR="002A5F60"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2A5F60" w:rsidRDefault="002A5F60" w:rsidP="002A5F60">
            <w:pPr>
              <w:autoSpaceDE w:val="0"/>
              <w:spacing w:after="0" w:line="240" w:lineRule="auto"/>
            </w:pPr>
            <w:r>
              <w:rPr>
                <w:rFonts w:ascii="Times New Roman" w:hAnsi="Times New Roman" w:cs="Times New Roman"/>
                <w:b/>
                <w:sz w:val="18"/>
                <w:szCs w:val="18"/>
              </w:rPr>
              <w:lastRenderedPageBreak/>
              <w:t>Guvernul</w:t>
            </w:r>
          </w:p>
          <w:p w:rsidR="002A5F60" w:rsidRDefault="002A5F60" w:rsidP="002A5F60">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2A5F60" w:rsidRDefault="002A5F60" w:rsidP="002A5F60">
            <w:pPr>
              <w:autoSpaceDE w:val="0"/>
              <w:spacing w:after="0" w:line="240" w:lineRule="auto"/>
              <w:rPr>
                <w:rFonts w:ascii="Times New Roman" w:hAnsi="Times New Roman" w:cs="Times New Roman"/>
                <w:b/>
                <w:sz w:val="18"/>
                <w:szCs w:val="18"/>
              </w:rPr>
            </w:pPr>
          </w:p>
          <w:p w:rsidR="002A5F60" w:rsidRDefault="002A5F60" w:rsidP="002A5F60">
            <w:pPr>
              <w:autoSpaceDE w:val="0"/>
              <w:spacing w:after="0" w:line="240" w:lineRule="auto"/>
              <w:rPr>
                <w:rFonts w:ascii="Times New Roman" w:hAnsi="Times New Roman" w:cs="Times New Roman"/>
                <w:b/>
                <w:sz w:val="18"/>
                <w:szCs w:val="18"/>
              </w:rPr>
            </w:pPr>
            <w:r w:rsidRPr="002A5F60">
              <w:rPr>
                <w:rFonts w:ascii="Times New Roman" w:hAnsi="Times New Roman" w:cs="Times New Roman"/>
                <w:b/>
                <w:sz w:val="18"/>
                <w:szCs w:val="18"/>
              </w:rPr>
              <w:t>Programul Educație și Ocupare</w:t>
            </w:r>
          </w:p>
          <w:p w:rsidR="002A5F60" w:rsidRDefault="002A5F60" w:rsidP="002A5F60">
            <w:pPr>
              <w:autoSpaceDE w:val="0"/>
              <w:spacing w:after="0" w:line="240" w:lineRule="auto"/>
              <w:rPr>
                <w:rFonts w:ascii="Times New Roman" w:hAnsi="Times New Roman" w:cs="Times New Roman"/>
                <w:b/>
                <w:sz w:val="18"/>
                <w:szCs w:val="18"/>
              </w:rPr>
            </w:pPr>
          </w:p>
          <w:p w:rsidR="002A5F60" w:rsidRDefault="002A5F60" w:rsidP="00B562E5">
            <w:pPr>
              <w:autoSpaceDE w:val="0"/>
              <w:spacing w:after="0" w:line="240" w:lineRule="auto"/>
              <w:rPr>
                <w:rFonts w:ascii="Times New Roman" w:hAnsi="Times New Roman" w:cs="Times New Roman"/>
                <w:b/>
                <w:sz w:val="18"/>
                <w:szCs w:val="18"/>
              </w:rPr>
            </w:pPr>
            <w:r w:rsidRPr="002A5F60">
              <w:rPr>
                <w:rFonts w:ascii="Times New Roman" w:hAnsi="Times New Roman" w:cs="Times New Roman"/>
                <w:b/>
                <w:sz w:val="18"/>
                <w:szCs w:val="18"/>
              </w:rPr>
              <w:t>Diversificarea și flexibilizarea serviciilor de educație timpurie</w:t>
            </w:r>
          </w:p>
        </w:tc>
        <w:tc>
          <w:tcPr>
            <w:tcW w:w="1953" w:type="dxa"/>
            <w:tcBorders>
              <w:top w:val="single" w:sz="4" w:space="0" w:color="000000"/>
              <w:left w:val="single" w:sz="4" w:space="0" w:color="000000"/>
              <w:bottom w:val="single" w:sz="4" w:space="0" w:color="000000"/>
            </w:tcBorders>
            <w:shd w:val="clear" w:color="auto" w:fill="auto"/>
          </w:tcPr>
          <w:p w:rsidR="002A5F60" w:rsidRPr="00E80796" w:rsidRDefault="002A5F60" w:rsidP="00E80796">
            <w:pPr>
              <w:autoSpaceDE w:val="0"/>
              <w:spacing w:after="0" w:line="240" w:lineRule="auto"/>
              <w:rPr>
                <w:rFonts w:ascii="Times New Roman" w:eastAsia="Times New Roman" w:hAnsi="Times New Roman" w:cs="Times New Roman"/>
                <w:sz w:val="20"/>
                <w:szCs w:val="20"/>
                <w:lang w:val="en-US"/>
              </w:rPr>
            </w:pPr>
            <w:r w:rsidRPr="002A5F60">
              <w:rPr>
                <w:rFonts w:ascii="Times New Roman" w:eastAsia="Times New Roman" w:hAnsi="Times New Roman" w:cs="Times New Roman"/>
                <w:sz w:val="20"/>
                <w:szCs w:val="20"/>
                <w:lang w:val="en-US"/>
              </w:rPr>
              <w:t>Apelul de proiecte finanțează acțiuni pentru diversificarea și flexibilizarea serviciilor de suport socio-educațional în educația timpurie pentru copiii cu vârste de la naștere la 6 ani.</w:t>
            </w:r>
          </w:p>
        </w:tc>
        <w:tc>
          <w:tcPr>
            <w:tcW w:w="2159" w:type="dxa"/>
            <w:tcBorders>
              <w:top w:val="single" w:sz="4" w:space="0" w:color="000000"/>
              <w:left w:val="single" w:sz="4" w:space="0" w:color="000000"/>
              <w:bottom w:val="single" w:sz="4" w:space="0" w:color="000000"/>
            </w:tcBorders>
            <w:shd w:val="clear" w:color="auto" w:fill="auto"/>
          </w:tcPr>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1.</w:t>
            </w:r>
            <w:r w:rsidRPr="002A5F60">
              <w:rPr>
                <w:rFonts w:ascii="Times New Roman" w:hAnsi="Times New Roman" w:cs="Times New Roman"/>
                <w:lang w:val="en-US"/>
              </w:rPr>
              <w:t>Consiliile județene</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2.</w:t>
            </w:r>
            <w:r w:rsidRPr="002A5F60">
              <w:rPr>
                <w:rFonts w:ascii="Times New Roman" w:hAnsi="Times New Roman" w:cs="Times New Roman"/>
                <w:lang w:val="en-US"/>
              </w:rPr>
              <w:t>Partenerii eligibili sunt:</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Inspectoratul Școlar Județean (obligatoriu);</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Autorități ale administrației publice locale;</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Instituții de învățământ superior;</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Unități de învățământ acreditate, publice și private, din rețeaua școlară națională.</w:t>
            </w:r>
          </w:p>
          <w:p w:rsidR="002A5F60" w:rsidRPr="002A5F60" w:rsidRDefault="002A5F60" w:rsidP="002A5F60">
            <w:pPr>
              <w:autoSpaceDE w:val="0"/>
              <w:spacing w:after="0" w:line="240" w:lineRule="auto"/>
              <w:rPr>
                <w:rFonts w:ascii="Times New Roman" w:hAnsi="Times New Roman" w:cs="Times New Roman"/>
                <w:lang w:val="en-US"/>
              </w:rPr>
            </w:pPr>
            <w:r w:rsidRPr="002A5F60">
              <w:rPr>
                <w:rFonts w:ascii="Times New Roman" w:hAnsi="Times New Roman" w:cs="Times New Roman"/>
                <w:lang w:val="en-US"/>
              </w:rPr>
              <w:t>Centrele Județene de Resurse și Asistență Educațională (CJRAE);</w:t>
            </w:r>
          </w:p>
          <w:p w:rsid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Furnizori privați de educație timpurie, inclusiv organizații neguvernamentale</w:t>
            </w:r>
          </w:p>
          <w:p w:rsidR="002A5F60" w:rsidRPr="002A5F60" w:rsidRDefault="002A5F60" w:rsidP="002A5F60">
            <w:pPr>
              <w:autoSpaceDE w:val="0"/>
              <w:spacing w:after="0" w:line="240" w:lineRule="auto"/>
              <w:rPr>
                <w:rFonts w:ascii="Times New Roman" w:hAnsi="Times New Roman" w:cs="Times New Roman"/>
                <w:lang w:val="en-US"/>
              </w:rPr>
            </w:pPr>
          </w:p>
          <w:p w:rsidR="002A5F60" w:rsidRPr="00E80796" w:rsidRDefault="002A5F60" w:rsidP="002A5F60">
            <w:pPr>
              <w:autoSpaceDE w:val="0"/>
              <w:spacing w:after="0" w:line="240" w:lineRule="auto"/>
              <w:rPr>
                <w:rFonts w:ascii="Times New Roman" w:hAnsi="Times New Roman" w:cs="Times New Roman"/>
                <w:lang w:val="en-US"/>
              </w:rPr>
            </w:pPr>
            <w:r w:rsidRPr="002A5F60">
              <w:rPr>
                <w:rFonts w:ascii="Times New Roman" w:hAnsi="Times New Roman" w:cs="Times New Roman"/>
                <w:lang w:val="en-US"/>
              </w:rPr>
              <w:t>Este obligatoriu ca Inspectoratul Școlar Județean să participe la implementarea proiectului în calitate de partener.</w:t>
            </w:r>
          </w:p>
        </w:tc>
        <w:tc>
          <w:tcPr>
            <w:tcW w:w="4050" w:type="dxa"/>
            <w:tcBorders>
              <w:top w:val="single" w:sz="4" w:space="0" w:color="000000"/>
              <w:left w:val="single" w:sz="4" w:space="0" w:color="000000"/>
              <w:bottom w:val="single" w:sz="4" w:space="0" w:color="000000"/>
            </w:tcBorders>
            <w:shd w:val="clear" w:color="auto" w:fill="auto"/>
          </w:tcPr>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r w:rsidRPr="002A5F60">
              <w:rPr>
                <w:rFonts w:ascii="Times New Roman" w:hAnsi="Times New Roman" w:cs="Times New Roman"/>
                <w:sz w:val="20"/>
                <w:szCs w:val="20"/>
                <w:lang w:val="en-US"/>
              </w:rPr>
              <w:t>Crearea cel puțin a unui serviciu standard/ complementar de educație, îngrijire și supraveghere, a copiilor de 3 luni- 6 ani (activitate obligatorie),</w:t>
            </w:r>
          </w:p>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r w:rsidRPr="002A5F60">
              <w:rPr>
                <w:rFonts w:ascii="Times New Roman" w:hAnsi="Times New Roman" w:cs="Times New Roman"/>
                <w:sz w:val="20"/>
                <w:szCs w:val="20"/>
                <w:lang w:val="en-US"/>
              </w:rPr>
              <w:t>Furnizarea serviciilor integrate de educație, îngrijire și supraveghere în cadrul serviciilor standard (crese/gradinite) sau complementare de educație timpurie înființate/extinse (activitate obligatorie)</w:t>
            </w:r>
          </w:p>
          <w:p w:rsidR="002A5F60" w:rsidRPr="00655ADF" w:rsidRDefault="002A5F60" w:rsidP="002A5F60">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3.</w:t>
            </w:r>
            <w:r w:rsidRPr="002A5F60">
              <w:rPr>
                <w:rFonts w:ascii="Times New Roman" w:hAnsi="Times New Roman" w:cs="Times New Roman"/>
                <w:sz w:val="20"/>
                <w:szCs w:val="20"/>
                <w:lang w:val="en-US"/>
              </w:rPr>
              <w:t>Activități pentru stimularea participării la educația timpurie a copiilor cu statut socio-economic scăzut, de etnie romă, cu dizabilități/alte cerințe educaționale speciale, refugiați/imigranți și/sau alte categorii vulnerabile respectiv prevenirea abandonului (activitate obligatorie)</w:t>
            </w:r>
          </w:p>
        </w:tc>
        <w:tc>
          <w:tcPr>
            <w:tcW w:w="1620" w:type="dxa"/>
            <w:tcBorders>
              <w:top w:val="single" w:sz="4" w:space="0" w:color="000000"/>
              <w:left w:val="single" w:sz="4" w:space="0" w:color="000000"/>
              <w:bottom w:val="single" w:sz="4" w:space="0" w:color="000000"/>
            </w:tcBorders>
            <w:shd w:val="clear" w:color="auto" w:fill="auto"/>
          </w:tcPr>
          <w:p w:rsidR="002A5F60" w:rsidRDefault="002A5F60" w:rsidP="002A5F60">
            <w:pPr>
              <w:autoSpaceDE w:val="0"/>
              <w:snapToGrid w:val="0"/>
              <w:spacing w:after="0" w:line="240" w:lineRule="auto"/>
              <w:rPr>
                <w:rFonts w:ascii="Times New Roman" w:hAnsi="Times New Roman" w:cs="Times New Roman"/>
                <w:sz w:val="20"/>
                <w:szCs w:val="20"/>
                <w:lang w:val="en-US"/>
              </w:rPr>
            </w:pPr>
            <w:r w:rsidRPr="002A5F60">
              <w:rPr>
                <w:rFonts w:ascii="Times New Roman" w:hAnsi="Times New Roman" w:cs="Times New Roman"/>
                <w:sz w:val="20"/>
                <w:szCs w:val="20"/>
                <w:lang w:val="en-US"/>
              </w:rPr>
              <w:t>Valoarea minimă eligibilă a unui proiect este de 201.000 euro</w:t>
            </w:r>
          </w:p>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p>
          <w:p w:rsidR="002A5F60" w:rsidRDefault="002A5F60" w:rsidP="002A5F60">
            <w:pPr>
              <w:autoSpaceDE w:val="0"/>
              <w:snapToGrid w:val="0"/>
              <w:spacing w:after="0" w:line="240" w:lineRule="auto"/>
              <w:rPr>
                <w:rFonts w:ascii="Times New Roman" w:hAnsi="Times New Roman" w:cs="Times New Roman"/>
                <w:sz w:val="20"/>
                <w:szCs w:val="20"/>
                <w:lang w:val="en-US"/>
              </w:rPr>
            </w:pPr>
            <w:r w:rsidRPr="002A5F60">
              <w:rPr>
                <w:rFonts w:ascii="Times New Roman" w:hAnsi="Times New Roman" w:cs="Times New Roman"/>
                <w:sz w:val="20"/>
                <w:szCs w:val="20"/>
                <w:lang w:val="en-US"/>
              </w:rPr>
              <w:t>Valoarea maximă eligibilă a unui proiect nu poate depăși 7.814.851,40 euro.</w:t>
            </w:r>
          </w:p>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p>
          <w:p w:rsidR="002A5F60" w:rsidRPr="001C5575" w:rsidRDefault="002A5F60" w:rsidP="002A5F60">
            <w:pPr>
              <w:autoSpaceDE w:val="0"/>
              <w:snapToGrid w:val="0"/>
              <w:spacing w:after="0" w:line="240" w:lineRule="auto"/>
              <w:rPr>
                <w:rFonts w:ascii="Times New Roman" w:hAnsi="Times New Roman" w:cs="Times New Roman"/>
                <w:sz w:val="20"/>
                <w:szCs w:val="20"/>
                <w:lang w:val="en-US"/>
              </w:rPr>
            </w:pPr>
            <w:r w:rsidRPr="002A5F60">
              <w:rPr>
                <w:rFonts w:ascii="Times New Roman" w:hAnsi="Times New Roman" w:cs="Times New Roman"/>
                <w:sz w:val="20"/>
                <w:szCs w:val="20"/>
                <w:lang w:val="en-US"/>
              </w:rPr>
              <w:t>Valoarea eligibilă a proiectelor va fi dimensionată în funcție de valoarea grupului țintă aferentă indicatorului EECO06+07 având ca reper suma de 3.117,21 euro/copil.</w:t>
            </w:r>
          </w:p>
        </w:tc>
        <w:tc>
          <w:tcPr>
            <w:tcW w:w="1530" w:type="dxa"/>
            <w:tcBorders>
              <w:top w:val="single" w:sz="4" w:space="0" w:color="000000"/>
              <w:left w:val="single" w:sz="4" w:space="0" w:color="000000"/>
              <w:bottom w:val="single" w:sz="4" w:space="0" w:color="000000"/>
            </w:tcBorders>
            <w:shd w:val="clear" w:color="auto" w:fill="auto"/>
          </w:tcPr>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sidRPr="002A5F60">
              <w:rPr>
                <w:rFonts w:ascii="Times New Roman" w:eastAsia="Times New Roman" w:hAnsi="Times New Roman" w:cs="Times New Roman"/>
                <w:sz w:val="16"/>
                <w:szCs w:val="16"/>
                <w:lang w:val="en-US"/>
              </w:rPr>
              <w:t>Cofinanțarea se aplică în funcție de Beneficiarul eligibil, astfel:</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între 15 și 60% pentru ordonatorii de credite ai bugetului de stat, bugetului asigurărilor sociale de stat şi ai bugetelor fondurilor speciale şi entităţile aflate în subordine sau în coordonare finanţate integral din bugetele acestora.</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0% pentru persoanele juridice de drept privat fără scop patrimonial.</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2% pentru instituţii de învăţământ preuniversitar/ superior private acreditate.</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5% pentru persoanele juridice de drept privat cu scop patrimonial.</w:t>
            </w:r>
          </w:p>
        </w:tc>
        <w:tc>
          <w:tcPr>
            <w:tcW w:w="1080" w:type="dxa"/>
            <w:tcBorders>
              <w:top w:val="single" w:sz="4" w:space="0" w:color="000000"/>
              <w:left w:val="single" w:sz="4" w:space="0" w:color="000000"/>
              <w:bottom w:val="single" w:sz="4" w:space="0" w:color="000000"/>
            </w:tcBorders>
            <w:shd w:val="clear" w:color="auto" w:fill="auto"/>
          </w:tcPr>
          <w:p w:rsidR="002A5F60" w:rsidRPr="002A5F60" w:rsidRDefault="002A5F60" w:rsidP="001C5575">
            <w:pPr>
              <w:autoSpaceDE w:val="0"/>
              <w:spacing w:after="0" w:line="240" w:lineRule="auto"/>
              <w:rPr>
                <w:rFonts w:ascii="Times New Roman" w:eastAsia="Times New Roman" w:hAnsi="Times New Roman" w:cs="Times New Roman"/>
                <w:sz w:val="16"/>
                <w:szCs w:val="16"/>
                <w:lang w:val="en-US"/>
              </w:rPr>
            </w:pPr>
            <w:r w:rsidRPr="002A5F60">
              <w:rPr>
                <w:rFonts w:ascii="Times New Roman" w:eastAsia="Times New Roman" w:hAnsi="Times New Roman" w:cs="Times New Roman"/>
                <w:sz w:val="16"/>
                <w:szCs w:val="16"/>
                <w:lang w:val="en-US"/>
              </w:rPr>
              <w:t>10.09.2024, ora 16.00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2A5F60" w:rsidRDefault="002A5F60" w:rsidP="00B562E5">
            <w:pPr>
              <w:autoSpaceDE w:val="0"/>
              <w:spacing w:after="0" w:line="240" w:lineRule="auto"/>
            </w:pPr>
            <w:hyperlink r:id="rId14" w:history="1">
              <w:r w:rsidRPr="00B802F3">
                <w:rPr>
                  <w:rStyle w:val="Hyperlink"/>
                </w:rPr>
                <w:t>https://www.fonduri-structurale.ro/finantari/734/diversificarea-si-flexibilizarea-serviciilor-de-educatie-timpurie</w:t>
              </w:r>
            </w:hyperlink>
          </w:p>
          <w:p w:rsidR="002A5F60" w:rsidRDefault="002A5F60" w:rsidP="00B562E5">
            <w:pPr>
              <w:autoSpaceDE w:val="0"/>
              <w:spacing w:after="0" w:line="240" w:lineRule="auto"/>
            </w:pPr>
          </w:p>
        </w:tc>
      </w:tr>
      <w:tr w:rsidR="00AB6ABA"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AB6ABA" w:rsidRPr="006D4CA5" w:rsidRDefault="00AB6ABA" w:rsidP="00B7416F">
            <w:pPr>
              <w:rPr>
                <w:rFonts w:ascii="Times New Roman" w:hAnsi="Times New Roman" w:cs="Times New Roman"/>
                <w:b/>
                <w:sz w:val="18"/>
                <w:szCs w:val="18"/>
              </w:rPr>
            </w:pPr>
            <w:r w:rsidRPr="006D4CA5">
              <w:rPr>
                <w:rFonts w:ascii="Times New Roman" w:hAnsi="Times New Roman" w:cs="Times New Roman"/>
                <w:b/>
                <w:sz w:val="18"/>
                <w:szCs w:val="18"/>
              </w:rPr>
              <w:lastRenderedPageBreak/>
              <w:t>Comisia Europeană</w:t>
            </w:r>
          </w:p>
          <w:p w:rsidR="00AB6ABA" w:rsidRDefault="00AB6ABA" w:rsidP="00B7416F">
            <w:pPr>
              <w:rPr>
                <w:rFonts w:ascii="Times New Roman" w:hAnsi="Times New Roman" w:cs="Times New Roman"/>
                <w:b/>
                <w:sz w:val="18"/>
                <w:szCs w:val="18"/>
              </w:rPr>
            </w:pPr>
            <w:r w:rsidRPr="006D4CA5">
              <w:rPr>
                <w:rFonts w:ascii="Times New Roman" w:hAnsi="Times New Roman" w:cs="Times New Roman"/>
                <w:b/>
                <w:sz w:val="18"/>
                <w:szCs w:val="18"/>
              </w:rPr>
              <w:t>Agenția Executivă Europeană pentru Climă, Infrastructură și Mediu</w:t>
            </w:r>
          </w:p>
          <w:p w:rsidR="00AB6ABA" w:rsidRPr="00C56108" w:rsidRDefault="00AB6ABA" w:rsidP="00B7416F">
            <w:pPr>
              <w:rPr>
                <w:rFonts w:ascii="Times New Roman" w:hAnsi="Times New Roman" w:cs="Times New Roman"/>
                <w:b/>
                <w:sz w:val="18"/>
                <w:szCs w:val="18"/>
              </w:rPr>
            </w:pPr>
          </w:p>
          <w:p w:rsidR="00AB6ABA" w:rsidRPr="00C56108" w:rsidRDefault="00AB6ABA" w:rsidP="00B7416F">
            <w:pPr>
              <w:rPr>
                <w:rFonts w:ascii="Times New Roman" w:hAnsi="Times New Roman" w:cs="Times New Roman"/>
                <w:b/>
                <w:sz w:val="18"/>
                <w:szCs w:val="18"/>
              </w:rPr>
            </w:pPr>
            <w:r w:rsidRPr="00C56108">
              <w:rPr>
                <w:rFonts w:ascii="Times New Roman" w:hAnsi="Times New Roman" w:cs="Times New Roman"/>
                <w:b/>
                <w:sz w:val="18"/>
                <w:szCs w:val="18"/>
              </w:rPr>
              <w:t>Programul LIFE - Apeluri 2024</w:t>
            </w:r>
          </w:p>
          <w:p w:rsidR="00AB6ABA" w:rsidRDefault="00AB6ABA" w:rsidP="00B7416F">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AB6ABA" w:rsidRPr="009B1336" w:rsidRDefault="00AB6ABA" w:rsidP="00B7416F">
            <w:pPr>
              <w:autoSpaceDE w:val="0"/>
              <w:spacing w:after="0" w:line="240" w:lineRule="auto"/>
              <w:rPr>
                <w:rFonts w:ascii="Times New Roman" w:eastAsia="Times New Roman" w:hAnsi="Times New Roman" w:cs="Times New Roman"/>
                <w:sz w:val="18"/>
                <w:szCs w:val="18"/>
                <w:lang w:val="en-US"/>
              </w:rPr>
            </w:pPr>
            <w:r w:rsidRPr="00D67393">
              <w:rPr>
                <w:rFonts w:ascii="Times New Roman" w:eastAsia="Times New Roman" w:hAnsi="Times New Roman" w:cs="Times New Roman"/>
                <w:sz w:val="18"/>
                <w:szCs w:val="18"/>
                <w:lang w:val="en-US"/>
              </w:rPr>
              <w:t>Programul LIFE este singurul program al UE dedicat exclusiv mediului, conservării naturii și acțiunilor de combatere a schimbărilor climatice.</w:t>
            </w:r>
          </w:p>
        </w:tc>
        <w:tc>
          <w:tcPr>
            <w:tcW w:w="2159" w:type="dxa"/>
            <w:tcBorders>
              <w:top w:val="single" w:sz="4" w:space="0" w:color="000000"/>
              <w:left w:val="single" w:sz="4" w:space="0" w:color="000000"/>
              <w:bottom w:val="single" w:sz="4" w:space="0" w:color="000000"/>
            </w:tcBorders>
            <w:shd w:val="clear" w:color="auto" w:fill="auto"/>
          </w:tcPr>
          <w:p w:rsidR="00AB6ABA" w:rsidRPr="00955210" w:rsidRDefault="00AB6ABA" w:rsidP="00B7416F">
            <w:pPr>
              <w:autoSpaceDE w:val="0"/>
              <w:spacing w:after="0" w:line="240" w:lineRule="auto"/>
              <w:rPr>
                <w:rFonts w:ascii="Times New Roman" w:hAnsi="Times New Roman" w:cs="Times New Roman"/>
                <w:lang w:val="en-US"/>
              </w:rPr>
            </w:pPr>
            <w:r w:rsidRPr="00811CC7">
              <w:rPr>
                <w:rFonts w:ascii="Times New Roman" w:hAnsi="Times New Roman" w:cs="Times New Roman"/>
                <w:lang w:val="en-US"/>
              </w:rPr>
              <w:t>întreprinderi, instituții academice, administrații naționale, regionale și locale și organizații neguvernamentale care lucrează în UE în domeniul conservării naturii, al protecției mediului, al schimbărilor climatice sau al tranziției către o energie curată</w:t>
            </w:r>
          </w:p>
        </w:tc>
        <w:tc>
          <w:tcPr>
            <w:tcW w:w="4050" w:type="dxa"/>
            <w:tcBorders>
              <w:top w:val="single" w:sz="4" w:space="0" w:color="000000"/>
              <w:left w:val="single" w:sz="4" w:space="0" w:color="000000"/>
              <w:bottom w:val="single" w:sz="4" w:space="0" w:color="000000"/>
            </w:tcBorders>
            <w:shd w:val="clear" w:color="auto" w:fill="auto"/>
          </w:tcPr>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Bugetul programului pentru perioada 2021-2027 este de 571 de milioane de euro, împărțit astfel:</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 xml:space="preserve">Proiecte de Acțiune Standard </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Natură și biodiversitate - 155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Economie circulară și calitatea vieții - 65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Atenuarea și adaptarea la schimbările climatice - 61,98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Tranziția către energie curată - 4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Noul Bauhaus European - 8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Guvernare ambientală - 10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Acțiuni de Coordonare și Suport</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Tranziția către energie curată - 77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Proiecte Strategice și Integrative - 150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Asistență Tehnică pentru Pregătirea Proiectelor Strategice și Integrative - 26 milioane euro.</w:t>
            </w:r>
          </w:p>
          <w:p w:rsidR="00AB6ABA" w:rsidRPr="00412E5B"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Acorduri Specifice de Finanțare pentru Organizațiile Neguvernamentale (ONG-uri) - 14 milioane euro.</w:t>
            </w:r>
          </w:p>
        </w:tc>
        <w:tc>
          <w:tcPr>
            <w:tcW w:w="1620" w:type="dxa"/>
            <w:tcBorders>
              <w:top w:val="single" w:sz="4" w:space="0" w:color="000000"/>
              <w:left w:val="single" w:sz="4" w:space="0" w:color="000000"/>
              <w:bottom w:val="single" w:sz="4" w:space="0" w:color="000000"/>
            </w:tcBorders>
            <w:shd w:val="clear" w:color="auto" w:fill="auto"/>
          </w:tcPr>
          <w:p w:rsidR="00AB6ABA" w:rsidRPr="00701267" w:rsidRDefault="00AB6ABA" w:rsidP="00B7416F">
            <w:pPr>
              <w:autoSpaceDE w:val="0"/>
              <w:snapToGrid w:val="0"/>
              <w:spacing w:after="0" w:line="240" w:lineRule="auto"/>
              <w:rPr>
                <w:rFonts w:ascii="Times New Roman" w:hAnsi="Times New Roman" w:cs="Times New Roman"/>
                <w:sz w:val="16"/>
                <w:szCs w:val="16"/>
                <w:lang w:val="en-US"/>
              </w:rPr>
            </w:pPr>
          </w:p>
          <w:p w:rsidR="00AB6ABA" w:rsidRPr="00701267" w:rsidRDefault="00AB6ABA" w:rsidP="00B7416F">
            <w:pPr>
              <w:autoSpaceDE w:val="0"/>
              <w:snapToGrid w:val="0"/>
              <w:spacing w:after="0" w:line="240" w:lineRule="auto"/>
              <w:rPr>
                <w:rFonts w:ascii="Times New Roman" w:hAnsi="Times New Roman" w:cs="Times New Roman"/>
                <w:sz w:val="16"/>
                <w:szCs w:val="16"/>
                <w:lang w:val="en-US"/>
              </w:rPr>
            </w:pPr>
          </w:p>
          <w:p w:rsidR="00AB6ABA" w:rsidRPr="009B5380" w:rsidRDefault="00AB6ABA" w:rsidP="00B7416F">
            <w:pPr>
              <w:autoSpaceDE w:val="0"/>
              <w:snapToGrid w:val="0"/>
              <w:spacing w:after="0" w:line="240" w:lineRule="auto"/>
              <w:rPr>
                <w:rFonts w:ascii="Times New Roman" w:hAnsi="Times New Roman" w:cs="Times New Roman"/>
                <w:sz w:val="20"/>
                <w:szCs w:val="20"/>
                <w:lang w:val="en-US"/>
              </w:rPr>
            </w:pPr>
            <w:r w:rsidRPr="009B5380">
              <w:rPr>
                <w:rFonts w:ascii="Times New Roman" w:hAnsi="Times New Roman" w:cs="Times New Roman"/>
                <w:sz w:val="20"/>
                <w:szCs w:val="20"/>
                <w:lang w:val="en-US"/>
              </w:rPr>
              <w:t>571 de milioane de euro</w:t>
            </w:r>
          </w:p>
        </w:tc>
        <w:tc>
          <w:tcPr>
            <w:tcW w:w="1530" w:type="dxa"/>
            <w:tcBorders>
              <w:top w:val="single" w:sz="4" w:space="0" w:color="000000"/>
              <w:left w:val="single" w:sz="4" w:space="0" w:color="000000"/>
              <w:bottom w:val="single" w:sz="4" w:space="0" w:color="000000"/>
            </w:tcBorders>
            <w:shd w:val="clear" w:color="auto" w:fill="auto"/>
          </w:tcPr>
          <w:p w:rsidR="00AB6ABA" w:rsidRPr="00412E5B" w:rsidRDefault="00AB6ABA" w:rsidP="00B7416F">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AB6ABA" w:rsidRPr="00D3586D" w:rsidRDefault="00AB6ABA" w:rsidP="00B7416F">
            <w:pPr>
              <w:autoSpaceDE w:val="0"/>
              <w:spacing w:after="0" w:line="240" w:lineRule="auto"/>
              <w:rPr>
                <w:rFonts w:ascii="Times New Roman" w:eastAsia="Times New Roman" w:hAnsi="Times New Roman" w:cs="Times New Roman"/>
                <w:sz w:val="18"/>
                <w:szCs w:val="18"/>
                <w:lang w:val="en-US"/>
              </w:rPr>
            </w:pPr>
            <w:r w:rsidRPr="009C3D59">
              <w:rPr>
                <w:rFonts w:ascii="Times New Roman" w:eastAsia="Times New Roman" w:hAnsi="Times New Roman" w:cs="Times New Roman"/>
                <w:sz w:val="18"/>
                <w:szCs w:val="18"/>
                <w:lang w:val="en-US"/>
              </w:rPr>
              <w:t>17 septembrie 2024</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AB6ABA" w:rsidRPr="00521995" w:rsidRDefault="00AB6ABA" w:rsidP="00B7416F">
            <w:pPr>
              <w:autoSpaceDE w:val="0"/>
              <w:spacing w:after="0" w:line="240" w:lineRule="auto"/>
              <w:rPr>
                <w:color w:val="7030A0"/>
                <w:u w:val="single"/>
              </w:rPr>
            </w:pPr>
            <w:r w:rsidRPr="00521995">
              <w:rPr>
                <w:color w:val="7030A0"/>
                <w:u w:val="single"/>
              </w:rPr>
              <w:t>https://www.fonduri-structurale.ro/alte-finantari/889/programul-life-apeluri-2024</w:t>
            </w:r>
          </w:p>
        </w:tc>
      </w:tr>
      <w:tr w:rsidR="00F64EE5"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F64EE5" w:rsidRDefault="00F64EE5" w:rsidP="00B7416F">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lastRenderedPageBreak/>
              <w:t>Ministerul Investiţiilor şi Proiectelor Europene</w:t>
            </w:r>
          </w:p>
          <w:p w:rsidR="00F64EE5" w:rsidRDefault="00F64EE5" w:rsidP="00B7416F">
            <w:pPr>
              <w:autoSpaceDE w:val="0"/>
              <w:spacing w:after="0" w:line="240" w:lineRule="auto"/>
              <w:rPr>
                <w:rFonts w:ascii="Times New Roman" w:hAnsi="Times New Roman" w:cs="Times New Roman"/>
                <w:b/>
                <w:sz w:val="18"/>
                <w:szCs w:val="18"/>
              </w:rPr>
            </w:pPr>
          </w:p>
          <w:p w:rsidR="00F64EE5" w:rsidRDefault="00F64EE5" w:rsidP="00B7416F">
            <w:pPr>
              <w:autoSpaceDE w:val="0"/>
              <w:spacing w:after="0" w:line="240" w:lineRule="auto"/>
              <w:rPr>
                <w:rFonts w:ascii="Times New Roman" w:hAnsi="Times New Roman" w:cs="Times New Roman"/>
                <w:b/>
                <w:sz w:val="18"/>
                <w:szCs w:val="18"/>
              </w:rPr>
            </w:pPr>
            <w:r w:rsidRPr="00F64EE5">
              <w:rPr>
                <w:rFonts w:ascii="Times New Roman" w:hAnsi="Times New Roman" w:cs="Times New Roman"/>
                <w:b/>
                <w:sz w:val="18"/>
                <w:szCs w:val="18"/>
              </w:rPr>
              <w:t>Programul Educație și Ocupare (PEO) 2021-2027</w:t>
            </w:r>
          </w:p>
          <w:p w:rsidR="00F64EE5" w:rsidRDefault="00F64EE5" w:rsidP="00B7416F">
            <w:pPr>
              <w:autoSpaceDE w:val="0"/>
              <w:spacing w:after="0" w:line="240" w:lineRule="auto"/>
              <w:rPr>
                <w:rFonts w:ascii="Times New Roman" w:hAnsi="Times New Roman" w:cs="Times New Roman"/>
                <w:b/>
                <w:sz w:val="18"/>
                <w:szCs w:val="18"/>
              </w:rPr>
            </w:pPr>
          </w:p>
          <w:p w:rsidR="00F64EE5" w:rsidRPr="00C749EF" w:rsidRDefault="00F64EE5" w:rsidP="00B7416F">
            <w:pPr>
              <w:autoSpaceDE w:val="0"/>
              <w:spacing w:after="0" w:line="240" w:lineRule="auto"/>
              <w:rPr>
                <w:rFonts w:ascii="Times New Roman" w:hAnsi="Times New Roman" w:cs="Times New Roman"/>
                <w:b/>
                <w:sz w:val="18"/>
                <w:szCs w:val="18"/>
              </w:rPr>
            </w:pPr>
            <w:r w:rsidRPr="00F64EE5">
              <w:rPr>
                <w:rFonts w:ascii="Times New Roman" w:hAnsi="Times New Roman" w:cs="Times New Roman"/>
                <w:b/>
                <w:sz w:val="18"/>
                <w:szCs w:val="18"/>
              </w:rPr>
              <w:t>Diversificarea și flexibilizarea serviciilor de educație timpurie</w:t>
            </w:r>
          </w:p>
        </w:tc>
        <w:tc>
          <w:tcPr>
            <w:tcW w:w="1953" w:type="dxa"/>
            <w:tcBorders>
              <w:top w:val="single" w:sz="4" w:space="0" w:color="000000"/>
              <w:left w:val="single" w:sz="4" w:space="0" w:color="000000"/>
              <w:bottom w:val="single" w:sz="4" w:space="0" w:color="000000"/>
            </w:tcBorders>
            <w:shd w:val="clear" w:color="auto" w:fill="auto"/>
          </w:tcPr>
          <w:p w:rsidR="00F64EE5" w:rsidRPr="004D64A0" w:rsidRDefault="00991AC2" w:rsidP="00991AC2">
            <w:pPr>
              <w:autoSpaceDE w:val="0"/>
              <w:spacing w:after="0" w:line="240" w:lineRule="auto"/>
              <w:rPr>
                <w:rFonts w:ascii="Times New Roman" w:eastAsia="Times New Roman" w:hAnsi="Times New Roman" w:cs="Times New Roman"/>
                <w:sz w:val="18"/>
                <w:szCs w:val="18"/>
                <w:lang w:val="en-US"/>
              </w:rPr>
            </w:pPr>
            <w:r w:rsidRPr="00F64EE5">
              <w:rPr>
                <w:rFonts w:ascii="Times New Roman" w:hAnsi="Times New Roman" w:cs="Times New Roman"/>
                <w:b/>
                <w:sz w:val="18"/>
                <w:szCs w:val="18"/>
              </w:rPr>
              <w:t>Diversificarea și flexibilizarea serviciilor</w:t>
            </w:r>
            <w:r>
              <w:rPr>
                <w:rFonts w:ascii="Times New Roman" w:hAnsi="Times New Roman" w:cs="Times New Roman"/>
                <w:b/>
                <w:sz w:val="18"/>
                <w:szCs w:val="18"/>
              </w:rPr>
              <w:t xml:space="preserve"> de suport socio-educaţional</w:t>
            </w:r>
          </w:p>
        </w:tc>
        <w:tc>
          <w:tcPr>
            <w:tcW w:w="2159" w:type="dxa"/>
            <w:tcBorders>
              <w:top w:val="single" w:sz="4" w:space="0" w:color="000000"/>
              <w:left w:val="single" w:sz="4" w:space="0" w:color="000000"/>
              <w:bottom w:val="single" w:sz="4" w:space="0" w:color="000000"/>
            </w:tcBorders>
            <w:shd w:val="clear" w:color="auto" w:fill="auto"/>
          </w:tcPr>
          <w:p w:rsidR="00F64EE5" w:rsidRPr="00F64EE5" w:rsidRDefault="00F64EE5" w:rsidP="00F64EE5">
            <w:pPr>
              <w:autoSpaceDE w:val="0"/>
              <w:spacing w:after="0" w:line="240" w:lineRule="auto"/>
              <w:rPr>
                <w:rFonts w:ascii="Times New Roman" w:hAnsi="Times New Roman" w:cs="Times New Roman"/>
                <w:lang w:val="en-US"/>
              </w:rPr>
            </w:pPr>
            <w:r>
              <w:rPr>
                <w:rFonts w:ascii="Times New Roman" w:hAnsi="Times New Roman" w:cs="Times New Roman"/>
                <w:lang w:val="en-US"/>
              </w:rPr>
              <w:t>1.</w:t>
            </w:r>
            <w:r w:rsidRPr="00F64EE5">
              <w:rPr>
                <w:rFonts w:ascii="Times New Roman" w:hAnsi="Times New Roman" w:cs="Times New Roman"/>
                <w:lang w:val="en-US"/>
              </w:rPr>
              <w:t>Consiliile județene</w:t>
            </w:r>
          </w:p>
          <w:p w:rsidR="00F64EE5" w:rsidRPr="00F64EE5" w:rsidRDefault="00F64EE5" w:rsidP="00F64EE5">
            <w:pPr>
              <w:autoSpaceDE w:val="0"/>
              <w:spacing w:after="0" w:line="240" w:lineRule="auto"/>
              <w:rPr>
                <w:rFonts w:ascii="Times New Roman" w:hAnsi="Times New Roman" w:cs="Times New Roman"/>
                <w:lang w:val="en-US"/>
              </w:rPr>
            </w:pPr>
            <w:r>
              <w:rPr>
                <w:rFonts w:ascii="Times New Roman" w:hAnsi="Times New Roman" w:cs="Times New Roman"/>
                <w:lang w:val="en-US"/>
              </w:rPr>
              <w:t>2.</w:t>
            </w:r>
            <w:r w:rsidRPr="00F64EE5">
              <w:rPr>
                <w:rFonts w:ascii="Times New Roman" w:hAnsi="Times New Roman" w:cs="Times New Roman"/>
                <w:lang w:val="en-US"/>
              </w:rPr>
              <w:t>Partenerii eligibili sunt:</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Inspectoratul Școlar Județean (obligatoriu);</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Autorități ale administrației publice locale;</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Instituții de învățământ superior;</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Unități de învățământ acreditate, publice și private, din rețeaua școlară națională.</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Centrele Județene de Resurse și Asistență Educațională (CJRAE);</w:t>
            </w:r>
          </w:p>
          <w:p w:rsid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Furnizori privați de educație timpurie, inclusiv organizații neguvernamentale</w:t>
            </w:r>
          </w:p>
        </w:tc>
        <w:tc>
          <w:tcPr>
            <w:tcW w:w="4050" w:type="dxa"/>
            <w:tcBorders>
              <w:top w:val="single" w:sz="4" w:space="0" w:color="000000"/>
              <w:left w:val="single" w:sz="4" w:space="0" w:color="000000"/>
              <w:bottom w:val="single" w:sz="4" w:space="0" w:color="000000"/>
            </w:tcBorders>
            <w:shd w:val="clear" w:color="auto" w:fill="auto"/>
          </w:tcPr>
          <w:p w:rsidR="00F64EE5" w:rsidRDefault="00F64EE5" w:rsidP="00B7416F">
            <w:pPr>
              <w:autoSpaceDE w:val="0"/>
              <w:snapToGrid w:val="0"/>
              <w:spacing w:after="0" w:line="240" w:lineRule="auto"/>
              <w:rPr>
                <w:rFonts w:ascii="Times New Roman" w:hAnsi="Times New Roman" w:cs="Times New Roman"/>
                <w:sz w:val="20"/>
                <w:szCs w:val="20"/>
                <w:lang w:val="en-US"/>
              </w:rPr>
            </w:pPr>
            <w:r w:rsidRPr="00F64EE5">
              <w:rPr>
                <w:rFonts w:ascii="Times New Roman" w:hAnsi="Times New Roman" w:cs="Times New Roman"/>
                <w:sz w:val="20"/>
                <w:szCs w:val="20"/>
                <w:lang w:val="en-US"/>
              </w:rPr>
              <w:t>Apelul de proiecte finanțează acțiuni pentru diversificarea și flexibilizarea serviciilor de suport socio-educațional în educația timpurie pentru copiii cu vârste de la naștere la 6 ani.</w:t>
            </w:r>
          </w:p>
          <w:p w:rsidR="00F64EE5" w:rsidRDefault="00F64EE5" w:rsidP="00B7416F">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Se finanţează:</w:t>
            </w:r>
          </w:p>
          <w:p w:rsidR="00F64EE5" w:rsidRPr="00F64EE5" w:rsidRDefault="00F64EE5" w:rsidP="00F64EE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F64EE5">
              <w:rPr>
                <w:rFonts w:ascii="Times New Roman" w:hAnsi="Times New Roman" w:cs="Times New Roman"/>
                <w:sz w:val="20"/>
                <w:szCs w:val="20"/>
                <w:lang w:val="en-US"/>
              </w:rPr>
              <w:t>Crearea cel puțin a unui serviciu standard/ complementar de educație, îngrijire și supraveghere, a copiilor de 3 luni- 6 ani (activitate obligatorie),</w:t>
            </w:r>
          </w:p>
          <w:p w:rsidR="00F64EE5" w:rsidRPr="00F64EE5" w:rsidRDefault="00F64EE5" w:rsidP="00F64EE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F64EE5">
              <w:rPr>
                <w:rFonts w:ascii="Times New Roman" w:hAnsi="Times New Roman" w:cs="Times New Roman"/>
                <w:sz w:val="20"/>
                <w:szCs w:val="20"/>
                <w:lang w:val="en-US"/>
              </w:rPr>
              <w:t>Furnizarea serviciilor integrate de educație, îngrijire și supraveghere în cadrul serviciilor standard (crese/gradinite) sau complementare de educație timpurie înființate/extinse (activitate obligatorie)</w:t>
            </w:r>
          </w:p>
          <w:p w:rsidR="00F64EE5" w:rsidRPr="00A13175" w:rsidRDefault="00F64EE5" w:rsidP="00F64EE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F64EE5">
              <w:rPr>
                <w:rFonts w:ascii="Times New Roman" w:hAnsi="Times New Roman" w:cs="Times New Roman"/>
                <w:sz w:val="20"/>
                <w:szCs w:val="20"/>
                <w:lang w:val="en-US"/>
              </w:rPr>
              <w:t>Activități pentru stimularea participării la educația timpurie a copiilor cu statut socio-economic scăzut, de etnie romă, cu dizabilități/alte cerințe educaționale speciale, refugiați/imigranți și/sau alte categorii vulnerabile respectiv prevenirea abandonului (activitate obligatorie)</w:t>
            </w:r>
          </w:p>
        </w:tc>
        <w:tc>
          <w:tcPr>
            <w:tcW w:w="1620" w:type="dxa"/>
            <w:tcBorders>
              <w:top w:val="single" w:sz="4" w:space="0" w:color="000000"/>
              <w:left w:val="single" w:sz="4" w:space="0" w:color="000000"/>
              <w:bottom w:val="single" w:sz="4" w:space="0" w:color="000000"/>
            </w:tcBorders>
            <w:shd w:val="clear" w:color="auto" w:fill="auto"/>
          </w:tcPr>
          <w:p w:rsidR="00F64EE5" w:rsidRPr="00F64EE5" w:rsidRDefault="00F64EE5" w:rsidP="00F64EE5">
            <w:pPr>
              <w:autoSpaceDE w:val="0"/>
              <w:snapToGrid w:val="0"/>
              <w:spacing w:after="0" w:line="240" w:lineRule="auto"/>
              <w:rPr>
                <w:rFonts w:ascii="Times New Roman" w:hAnsi="Times New Roman" w:cs="Times New Roman"/>
                <w:sz w:val="20"/>
                <w:szCs w:val="20"/>
                <w:lang w:val="en-US"/>
              </w:rPr>
            </w:pPr>
            <w:r w:rsidRPr="00F64EE5">
              <w:rPr>
                <w:rFonts w:ascii="Times New Roman" w:hAnsi="Times New Roman" w:cs="Times New Roman"/>
                <w:sz w:val="20"/>
                <w:szCs w:val="20"/>
                <w:lang w:val="en-US"/>
              </w:rPr>
              <w:t>Valoarea minimă eligibilă a unui proiect este de 201.000 euro</w:t>
            </w:r>
          </w:p>
          <w:p w:rsidR="00F64EE5" w:rsidRPr="00E625D4" w:rsidRDefault="00F64EE5" w:rsidP="00F64EE5">
            <w:pPr>
              <w:autoSpaceDE w:val="0"/>
              <w:snapToGrid w:val="0"/>
              <w:spacing w:after="0" w:line="240" w:lineRule="auto"/>
              <w:rPr>
                <w:rFonts w:ascii="Times New Roman" w:hAnsi="Times New Roman" w:cs="Times New Roman"/>
                <w:sz w:val="20"/>
                <w:szCs w:val="20"/>
                <w:lang w:val="en-US"/>
              </w:rPr>
            </w:pPr>
            <w:r w:rsidRPr="00F64EE5">
              <w:rPr>
                <w:rFonts w:ascii="Times New Roman" w:hAnsi="Times New Roman" w:cs="Times New Roman"/>
                <w:sz w:val="20"/>
                <w:szCs w:val="20"/>
                <w:lang w:val="en-US"/>
              </w:rPr>
              <w:t>Valoarea maximă eligibilă a unui proiect nu poate depăși 7.814.851,40 euro.</w:t>
            </w:r>
          </w:p>
        </w:tc>
        <w:tc>
          <w:tcPr>
            <w:tcW w:w="1530" w:type="dxa"/>
            <w:tcBorders>
              <w:top w:val="single" w:sz="4" w:space="0" w:color="000000"/>
              <w:left w:val="single" w:sz="4" w:space="0" w:color="000000"/>
              <w:bottom w:val="single" w:sz="4" w:space="0" w:color="000000"/>
            </w:tcBorders>
            <w:shd w:val="clear" w:color="auto" w:fill="auto"/>
          </w:tcPr>
          <w:p w:rsidR="00F64EE5" w:rsidRPr="00F64EE5" w:rsidRDefault="00F64EE5" w:rsidP="00F64EE5">
            <w:pPr>
              <w:autoSpaceDE w:val="0"/>
              <w:snapToGrid w:val="0"/>
              <w:spacing w:after="0" w:line="240" w:lineRule="auto"/>
              <w:rPr>
                <w:rFonts w:ascii="Times New Roman" w:eastAsia="Times New Roman" w:hAnsi="Times New Roman" w:cs="Times New Roman"/>
                <w:sz w:val="16"/>
                <w:szCs w:val="16"/>
                <w:lang w:val="en-US"/>
              </w:rPr>
            </w:pPr>
            <w:r w:rsidRPr="00F64EE5">
              <w:rPr>
                <w:rFonts w:ascii="Times New Roman" w:eastAsia="Times New Roman" w:hAnsi="Times New Roman" w:cs="Times New Roman"/>
                <w:sz w:val="16"/>
                <w:szCs w:val="16"/>
                <w:lang w:val="en-US"/>
              </w:rPr>
              <w:t>Cofinanțarea se aplică în funcție de Beneficiarul eligibil, astfel:</w:t>
            </w:r>
          </w:p>
          <w:p w:rsidR="00F64EE5" w:rsidRPr="00F64EE5" w:rsidRDefault="00F64EE5" w:rsidP="00F64EE5">
            <w:pPr>
              <w:autoSpaceDE w:val="0"/>
              <w:snapToGrid w:val="0"/>
              <w:spacing w:after="0" w:line="240" w:lineRule="auto"/>
              <w:rPr>
                <w:rFonts w:ascii="Times New Roman" w:eastAsia="Times New Roman" w:hAnsi="Times New Roman" w:cs="Times New Roman"/>
                <w:sz w:val="16"/>
                <w:szCs w:val="16"/>
                <w:lang w:val="en-US"/>
              </w:rPr>
            </w:pPr>
          </w:p>
          <w:p w:rsidR="00F64EE5" w:rsidRPr="00F64EE5" w:rsidRDefault="00F64EE5" w:rsidP="00F64EE5">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F64EE5">
              <w:rPr>
                <w:rFonts w:ascii="Times New Roman" w:eastAsia="Times New Roman" w:hAnsi="Times New Roman" w:cs="Times New Roman"/>
                <w:sz w:val="16"/>
                <w:szCs w:val="16"/>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F64EE5" w:rsidRPr="00412E5B" w:rsidRDefault="00F64EE5" w:rsidP="00F64EE5">
            <w:pPr>
              <w:autoSpaceDE w:val="0"/>
              <w:snapToGrid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6"/>
                <w:szCs w:val="16"/>
                <w:lang w:val="en-US"/>
              </w:rPr>
              <w:t>-</w:t>
            </w:r>
            <w:r w:rsidRPr="00F64EE5">
              <w:rPr>
                <w:rFonts w:ascii="Times New Roman" w:eastAsia="Times New Roman" w:hAnsi="Times New Roman" w:cs="Times New Roman"/>
                <w:sz w:val="16"/>
                <w:szCs w:val="16"/>
                <w:lang w:val="en-US"/>
              </w:rPr>
              <w:t>între 15 și 60% pentru ordonatorii de credite ai bugetului de stat, bugetului asigurărilor sociale de stat şi ai bugetelor fondurilor speciale şi entităţile aflate în subordine sau în coordonare finanţate integral din bugetele acestora.</w:t>
            </w:r>
          </w:p>
        </w:tc>
        <w:tc>
          <w:tcPr>
            <w:tcW w:w="1080" w:type="dxa"/>
            <w:tcBorders>
              <w:top w:val="single" w:sz="4" w:space="0" w:color="000000"/>
              <w:left w:val="single" w:sz="4" w:space="0" w:color="000000"/>
              <w:bottom w:val="single" w:sz="4" w:space="0" w:color="000000"/>
            </w:tcBorders>
            <w:shd w:val="clear" w:color="auto" w:fill="auto"/>
          </w:tcPr>
          <w:p w:rsidR="00F64EE5" w:rsidRPr="00F24B4C" w:rsidRDefault="00F64EE5" w:rsidP="00B7416F">
            <w:pPr>
              <w:autoSpaceDE w:val="0"/>
              <w:spacing w:after="0" w:line="240" w:lineRule="auto"/>
              <w:rPr>
                <w:rFonts w:ascii="Times New Roman" w:eastAsia="Times New Roman" w:hAnsi="Times New Roman" w:cs="Times New Roman"/>
                <w:sz w:val="18"/>
                <w:szCs w:val="18"/>
                <w:lang w:val="en-US"/>
              </w:rPr>
            </w:pPr>
            <w:r w:rsidRPr="00F64EE5">
              <w:rPr>
                <w:rFonts w:ascii="Times New Roman" w:eastAsia="Times New Roman" w:hAnsi="Times New Roman" w:cs="Times New Roman"/>
                <w:sz w:val="18"/>
                <w:szCs w:val="18"/>
                <w:lang w:val="en-US"/>
              </w:rPr>
              <w:t>10 Septembrie 2024</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F64EE5" w:rsidRDefault="00EF408F" w:rsidP="00B7416F">
            <w:pPr>
              <w:autoSpaceDE w:val="0"/>
              <w:spacing w:after="0" w:line="240" w:lineRule="auto"/>
              <w:rPr>
                <w:color w:val="4F81BD" w:themeColor="accent1"/>
                <w:u w:val="single"/>
              </w:rPr>
            </w:pPr>
            <w:hyperlink r:id="rId15" w:history="1">
              <w:r w:rsidR="00F64EE5" w:rsidRPr="007D78AF">
                <w:rPr>
                  <w:rStyle w:val="Hyperlink"/>
                </w:rPr>
                <w:t>https://fonduri-structurale.ro/finantari/734/diversificarea-si-flexibilizarea-serviciilor-de-educatie-timpurie#</w:t>
              </w:r>
            </w:hyperlink>
            <w:r w:rsidR="00F64EE5" w:rsidRPr="00F64EE5">
              <w:rPr>
                <w:color w:val="4F81BD" w:themeColor="accent1"/>
                <w:u w:val="single"/>
              </w:rPr>
              <w:t>!</w:t>
            </w:r>
          </w:p>
          <w:p w:rsidR="00F64EE5" w:rsidRPr="00130D1D" w:rsidRDefault="00F64EE5" w:rsidP="00B7416F">
            <w:pPr>
              <w:autoSpaceDE w:val="0"/>
              <w:spacing w:after="0" w:line="240" w:lineRule="auto"/>
              <w:rPr>
                <w:color w:val="4F81BD" w:themeColor="accent1"/>
                <w:u w:val="single"/>
              </w:rPr>
            </w:pPr>
          </w:p>
        </w:tc>
      </w:tr>
      <w:tr w:rsidR="00FC1D2B"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FC1D2B" w:rsidRDefault="00FC1D2B" w:rsidP="00FC1D2B">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lastRenderedPageBreak/>
              <w:t>Ministerul Investiţiilor şi Proiectelor Europene</w:t>
            </w:r>
          </w:p>
          <w:p w:rsidR="00FC1D2B" w:rsidRDefault="00FC1D2B" w:rsidP="00FC1D2B">
            <w:pPr>
              <w:autoSpaceDE w:val="0"/>
              <w:spacing w:after="0" w:line="240" w:lineRule="auto"/>
              <w:rPr>
                <w:rFonts w:ascii="Times New Roman" w:hAnsi="Times New Roman" w:cs="Times New Roman"/>
                <w:b/>
                <w:sz w:val="18"/>
                <w:szCs w:val="18"/>
              </w:rPr>
            </w:pPr>
          </w:p>
          <w:p w:rsidR="00FC1D2B" w:rsidRDefault="00FC1D2B" w:rsidP="00FC1D2B">
            <w:pPr>
              <w:autoSpaceDE w:val="0"/>
              <w:spacing w:after="0" w:line="240" w:lineRule="auto"/>
              <w:rPr>
                <w:rFonts w:ascii="Times New Roman" w:hAnsi="Times New Roman" w:cs="Times New Roman"/>
                <w:b/>
                <w:sz w:val="18"/>
                <w:szCs w:val="18"/>
              </w:rPr>
            </w:pPr>
            <w:r w:rsidRPr="00FC1D2B">
              <w:rPr>
                <w:rFonts w:ascii="Times New Roman" w:hAnsi="Times New Roman" w:cs="Times New Roman"/>
                <w:b/>
                <w:sz w:val="18"/>
                <w:szCs w:val="18"/>
              </w:rPr>
              <w:t xml:space="preserve">Programul Sănătate </w:t>
            </w:r>
          </w:p>
          <w:p w:rsidR="00FC1D2B" w:rsidRDefault="00FC1D2B" w:rsidP="00FC1D2B">
            <w:pPr>
              <w:autoSpaceDE w:val="0"/>
              <w:spacing w:after="0" w:line="240" w:lineRule="auto"/>
              <w:rPr>
                <w:rFonts w:ascii="Times New Roman" w:hAnsi="Times New Roman" w:cs="Times New Roman"/>
                <w:b/>
                <w:sz w:val="18"/>
                <w:szCs w:val="18"/>
              </w:rPr>
            </w:pPr>
          </w:p>
          <w:p w:rsidR="00FC1D2B" w:rsidRDefault="00FC1D2B" w:rsidP="00FC1D2B">
            <w:pPr>
              <w:autoSpaceDE w:val="0"/>
              <w:spacing w:after="0" w:line="240" w:lineRule="auto"/>
              <w:rPr>
                <w:rFonts w:ascii="Times New Roman" w:hAnsi="Times New Roman" w:cs="Times New Roman"/>
                <w:b/>
                <w:sz w:val="18"/>
                <w:szCs w:val="18"/>
              </w:rPr>
            </w:pPr>
            <w:r w:rsidRPr="00FC1D2B">
              <w:rPr>
                <w:rFonts w:ascii="Times New Roman" w:hAnsi="Times New Roman" w:cs="Times New Roman"/>
                <w:b/>
                <w:sz w:val="18"/>
                <w:szCs w:val="18"/>
              </w:rPr>
              <w:t>Investiții pentru cabinete de asistență medicală stomatologică care furnizează servicii copiilor, în ambulatoriile integrate spitalelor de pediatrie sau ambulatoriile spitalelor publice care au secții de pediatrie</w:t>
            </w:r>
          </w:p>
        </w:tc>
        <w:tc>
          <w:tcPr>
            <w:tcW w:w="1953" w:type="dxa"/>
            <w:tcBorders>
              <w:top w:val="single" w:sz="4" w:space="0" w:color="000000"/>
              <w:left w:val="single" w:sz="4" w:space="0" w:color="000000"/>
              <w:bottom w:val="single" w:sz="4" w:space="0" w:color="000000"/>
            </w:tcBorders>
            <w:shd w:val="clear" w:color="auto" w:fill="auto"/>
          </w:tcPr>
          <w:p w:rsidR="00FC1D2B" w:rsidRPr="00FC1D2B" w:rsidRDefault="00FC1D2B" w:rsidP="00991AC2">
            <w:pPr>
              <w:autoSpaceDE w:val="0"/>
              <w:spacing w:after="0" w:line="240" w:lineRule="auto"/>
              <w:rPr>
                <w:rFonts w:ascii="Times New Roman" w:hAnsi="Times New Roman" w:cs="Times New Roman"/>
                <w:bCs/>
                <w:sz w:val="18"/>
                <w:szCs w:val="18"/>
              </w:rPr>
            </w:pPr>
            <w:r>
              <w:rPr>
                <w:rFonts w:ascii="Times New Roman" w:hAnsi="Times New Roman" w:cs="Times New Roman"/>
                <w:bCs/>
                <w:sz w:val="18"/>
                <w:szCs w:val="18"/>
              </w:rPr>
              <w:t>F</w:t>
            </w:r>
            <w:r w:rsidRPr="00FC1D2B">
              <w:rPr>
                <w:rFonts w:ascii="Times New Roman" w:hAnsi="Times New Roman" w:cs="Times New Roman"/>
                <w:bCs/>
                <w:sz w:val="18"/>
                <w:szCs w:val="18"/>
              </w:rPr>
              <w:t>inanțarea înființării/renovării/dotării cabinetele de asistență medicală stomatologică pentru copii, inclusiv copii cu nevoi speciale, în ambulatoriile spitalelor de pediatrie sau ale spitalelor publice cu secții de pediatrie. Finanțarea se acordă sub formă de granturi și are ca obiectiv creșterea calității serviciilor de asistență medicală primară și îmbunătățirea serviciilor preventive.</w:t>
            </w:r>
          </w:p>
        </w:tc>
        <w:tc>
          <w:tcPr>
            <w:tcW w:w="2159" w:type="dxa"/>
            <w:tcBorders>
              <w:top w:val="single" w:sz="4" w:space="0" w:color="000000"/>
              <w:left w:val="single" w:sz="4" w:space="0" w:color="000000"/>
              <w:bottom w:val="single" w:sz="4" w:space="0" w:color="000000"/>
            </w:tcBorders>
            <w:shd w:val="clear" w:color="auto" w:fill="auto"/>
          </w:tcPr>
          <w:p w:rsidR="006763DB" w:rsidRDefault="006763DB" w:rsidP="006763DB">
            <w:pPr>
              <w:autoSpaceDE w:val="0"/>
              <w:spacing w:after="0" w:line="240" w:lineRule="auto"/>
              <w:rPr>
                <w:rFonts w:ascii="Times New Roman" w:hAnsi="Times New Roman" w:cs="Times New Roman"/>
                <w:sz w:val="18"/>
                <w:szCs w:val="18"/>
                <w:lang w:val="en-US"/>
              </w:rPr>
            </w:pPr>
            <w:r w:rsidRPr="006763DB">
              <w:rPr>
                <w:rFonts w:ascii="Times New Roman" w:hAnsi="Times New Roman" w:cs="Times New Roman"/>
                <w:sz w:val="18"/>
                <w:szCs w:val="18"/>
                <w:lang w:val="en-US"/>
              </w:rPr>
              <w:t>a) Unități sanitare publice de pediatrie sau unități sanitare publice cu secții de pediatrie;</w:t>
            </w:r>
          </w:p>
          <w:p w:rsidR="006763DB" w:rsidRPr="006763DB" w:rsidRDefault="006763DB" w:rsidP="006763DB">
            <w:pPr>
              <w:autoSpaceDE w:val="0"/>
              <w:spacing w:after="0" w:line="240" w:lineRule="auto"/>
              <w:rPr>
                <w:rFonts w:ascii="Times New Roman" w:hAnsi="Times New Roman" w:cs="Times New Roman"/>
                <w:sz w:val="18"/>
                <w:szCs w:val="18"/>
                <w:lang w:val="en-US"/>
              </w:rPr>
            </w:pPr>
          </w:p>
          <w:p w:rsidR="006763DB" w:rsidRDefault="006763DB" w:rsidP="006763DB">
            <w:pPr>
              <w:autoSpaceDE w:val="0"/>
              <w:spacing w:after="0" w:line="240" w:lineRule="auto"/>
              <w:rPr>
                <w:rFonts w:ascii="Times New Roman" w:hAnsi="Times New Roman" w:cs="Times New Roman"/>
                <w:sz w:val="18"/>
                <w:szCs w:val="18"/>
                <w:lang w:val="en-US"/>
              </w:rPr>
            </w:pPr>
            <w:r w:rsidRPr="006763DB">
              <w:rPr>
                <w:rFonts w:ascii="Times New Roman" w:hAnsi="Times New Roman" w:cs="Times New Roman"/>
                <w:sz w:val="18"/>
                <w:szCs w:val="18"/>
                <w:lang w:val="en-US"/>
              </w:rPr>
              <w:t>b) Primăria Municipiului București, inclusiv prin Administrația Spitalelor și Serviciilor Medicale București și sec</w:t>
            </w:r>
            <w:r w:rsidRPr="006763DB">
              <w:rPr>
                <w:rFonts w:ascii="Times New Roman" w:hAnsi="Times New Roman" w:cs="Times New Roman"/>
                <w:sz w:val="18"/>
                <w:szCs w:val="18"/>
                <w:lang w:val="en-US"/>
              </w:rPr>
              <w:t>toarele Municipiului București</w:t>
            </w:r>
            <w:r w:rsidRPr="006763DB">
              <w:rPr>
                <w:rFonts w:ascii="Times New Roman" w:hAnsi="Times New Roman" w:cs="Times New Roman"/>
                <w:sz w:val="18"/>
                <w:szCs w:val="18"/>
                <w:lang w:val="en-US"/>
              </w:rPr>
              <w:t>, care au în coordonare/ subordonare/ autoritate sau dețin în administrare/ proprietate unitățile de la punctul a);</w:t>
            </w:r>
          </w:p>
          <w:p w:rsidR="006763DB" w:rsidRPr="006763DB" w:rsidRDefault="006763DB" w:rsidP="006763DB">
            <w:pPr>
              <w:autoSpaceDE w:val="0"/>
              <w:spacing w:after="0" w:line="240" w:lineRule="auto"/>
              <w:rPr>
                <w:rFonts w:ascii="Times New Roman" w:hAnsi="Times New Roman" w:cs="Times New Roman"/>
                <w:sz w:val="18"/>
                <w:szCs w:val="18"/>
                <w:lang w:val="en-US"/>
              </w:rPr>
            </w:pPr>
          </w:p>
          <w:p w:rsidR="006763DB" w:rsidRPr="006763DB" w:rsidRDefault="006763DB" w:rsidP="006763DB">
            <w:pPr>
              <w:autoSpaceDE w:val="0"/>
              <w:spacing w:after="0" w:line="240" w:lineRule="auto"/>
              <w:rPr>
                <w:rFonts w:ascii="Times New Roman" w:hAnsi="Times New Roman" w:cs="Times New Roman"/>
                <w:sz w:val="18"/>
                <w:szCs w:val="18"/>
                <w:lang w:val="en-US"/>
              </w:rPr>
            </w:pPr>
            <w:r w:rsidRPr="006763DB">
              <w:rPr>
                <w:rFonts w:ascii="Times New Roman" w:hAnsi="Times New Roman" w:cs="Times New Roman"/>
                <w:sz w:val="18"/>
                <w:szCs w:val="18"/>
                <w:lang w:val="en-US"/>
              </w:rPr>
              <w:t>c) Unitățile administrativ-teritoriale, care au în coordonare/ subordonare/</w:t>
            </w:r>
          </w:p>
          <w:p w:rsidR="006763DB" w:rsidRDefault="006763DB" w:rsidP="006763DB">
            <w:pPr>
              <w:autoSpaceDE w:val="0"/>
              <w:spacing w:after="0" w:line="240" w:lineRule="auto"/>
              <w:rPr>
                <w:rFonts w:ascii="Times New Roman" w:hAnsi="Times New Roman" w:cs="Times New Roman"/>
                <w:sz w:val="18"/>
                <w:szCs w:val="18"/>
                <w:lang w:val="en-US"/>
              </w:rPr>
            </w:pPr>
            <w:r w:rsidRPr="006763DB">
              <w:rPr>
                <w:rFonts w:ascii="Times New Roman" w:hAnsi="Times New Roman" w:cs="Times New Roman"/>
                <w:sz w:val="18"/>
                <w:szCs w:val="18"/>
                <w:lang w:val="en-US"/>
              </w:rPr>
              <w:t>autoritate sau dețin în administrare/ proprietate unitățile de la punctul a);</w:t>
            </w:r>
          </w:p>
          <w:p w:rsidR="006763DB" w:rsidRPr="006763DB" w:rsidRDefault="006763DB" w:rsidP="006763DB">
            <w:pPr>
              <w:autoSpaceDE w:val="0"/>
              <w:spacing w:after="0" w:line="240" w:lineRule="auto"/>
              <w:rPr>
                <w:rFonts w:ascii="Times New Roman" w:hAnsi="Times New Roman" w:cs="Times New Roman"/>
                <w:sz w:val="18"/>
                <w:szCs w:val="18"/>
                <w:lang w:val="en-US"/>
              </w:rPr>
            </w:pPr>
          </w:p>
          <w:p w:rsidR="00FC1D2B" w:rsidRPr="006763DB" w:rsidRDefault="006763DB" w:rsidP="006763DB">
            <w:pPr>
              <w:autoSpaceDE w:val="0"/>
              <w:spacing w:after="0" w:line="240" w:lineRule="auto"/>
              <w:rPr>
                <w:rFonts w:ascii="Times New Roman" w:hAnsi="Times New Roman" w:cs="Times New Roman"/>
                <w:sz w:val="16"/>
                <w:szCs w:val="16"/>
                <w:lang w:val="en-US"/>
              </w:rPr>
            </w:pPr>
            <w:r w:rsidRPr="006763DB">
              <w:rPr>
                <w:rFonts w:ascii="Times New Roman" w:hAnsi="Times New Roman" w:cs="Times New Roman"/>
                <w:sz w:val="18"/>
                <w:szCs w:val="18"/>
                <w:lang w:val="en-US"/>
              </w:rPr>
              <w:t>d) Ministerul Sănătății, alte autorități și instituții publice centrale, inclusiv autorități și instituții publice centrale din sfera apărării, ordinii publice și siguranței naționale, respectiv a Academiei Române care au în coordonare/ subordonare/ autoritate sau dețin în administrare/ proprietate unitățile de la punctul a).</w:t>
            </w:r>
          </w:p>
        </w:tc>
        <w:tc>
          <w:tcPr>
            <w:tcW w:w="4050" w:type="dxa"/>
            <w:tcBorders>
              <w:top w:val="single" w:sz="4" w:space="0" w:color="000000"/>
              <w:left w:val="single" w:sz="4" w:space="0" w:color="000000"/>
              <w:bottom w:val="single" w:sz="4" w:space="0" w:color="000000"/>
            </w:tcBorders>
            <w:shd w:val="clear" w:color="auto" w:fill="auto"/>
          </w:tcPr>
          <w:p w:rsidR="006763DB" w:rsidRPr="006763DB" w:rsidRDefault="006763DB" w:rsidP="006763DB">
            <w:pPr>
              <w:autoSpaceDE w:val="0"/>
              <w:snapToGrid w:val="0"/>
              <w:spacing w:after="0" w:line="240" w:lineRule="auto"/>
              <w:rPr>
                <w:rFonts w:ascii="Times New Roman" w:hAnsi="Times New Roman" w:cs="Times New Roman"/>
                <w:sz w:val="20"/>
                <w:szCs w:val="20"/>
                <w:lang w:val="en-US"/>
              </w:rPr>
            </w:pPr>
            <w:r w:rsidRPr="006763DB">
              <w:rPr>
                <w:rFonts w:ascii="Times New Roman" w:hAnsi="Times New Roman" w:cs="Times New Roman"/>
                <w:sz w:val="20"/>
                <w:szCs w:val="20"/>
                <w:lang w:val="en-US"/>
              </w:rPr>
              <w:t>Activitățile eligibile sunt:</w:t>
            </w:r>
          </w:p>
          <w:p w:rsidR="006763DB" w:rsidRPr="006763DB" w:rsidRDefault="006763DB" w:rsidP="006763DB">
            <w:pPr>
              <w:autoSpaceDE w:val="0"/>
              <w:snapToGrid w:val="0"/>
              <w:spacing w:after="0" w:line="240" w:lineRule="auto"/>
              <w:rPr>
                <w:rFonts w:ascii="Times New Roman" w:hAnsi="Times New Roman" w:cs="Times New Roman"/>
                <w:sz w:val="20"/>
                <w:szCs w:val="20"/>
                <w:lang w:val="en-US"/>
              </w:rPr>
            </w:pPr>
          </w:p>
          <w:p w:rsidR="006763DB" w:rsidRDefault="006763DB" w:rsidP="006763DB">
            <w:pPr>
              <w:autoSpaceDE w:val="0"/>
              <w:snapToGrid w:val="0"/>
              <w:spacing w:after="0" w:line="240" w:lineRule="auto"/>
              <w:rPr>
                <w:rFonts w:ascii="Times New Roman" w:hAnsi="Times New Roman" w:cs="Times New Roman"/>
                <w:sz w:val="20"/>
                <w:szCs w:val="20"/>
                <w:lang w:val="en-US"/>
              </w:rPr>
            </w:pPr>
            <w:r w:rsidRPr="006763DB">
              <w:rPr>
                <w:rFonts w:ascii="Times New Roman" w:hAnsi="Times New Roman" w:cs="Times New Roman"/>
                <w:sz w:val="20"/>
                <w:szCs w:val="20"/>
                <w:lang w:val="en-US"/>
              </w:rPr>
              <w:t xml:space="preserve">investițiile în renovarea cabinetelor de asistență medicală stomatologică în structura ambulatoriilor integrate spitalelor de pediatrie sau în ambulatoriile spitalelor publice care au secții de pediatrie care să furnizeze servicii de asistență medicală stomatologică acordată copiilor, inclusiv copiilor cu nevoi speciale. </w:t>
            </w:r>
          </w:p>
          <w:p w:rsidR="006763DB" w:rsidRPr="006763DB" w:rsidRDefault="006763DB" w:rsidP="006763DB">
            <w:pPr>
              <w:autoSpaceDE w:val="0"/>
              <w:snapToGrid w:val="0"/>
              <w:spacing w:after="0" w:line="240" w:lineRule="auto"/>
              <w:rPr>
                <w:rFonts w:ascii="Times New Roman" w:hAnsi="Times New Roman" w:cs="Times New Roman"/>
                <w:sz w:val="20"/>
                <w:szCs w:val="20"/>
                <w:lang w:val="en-US"/>
              </w:rPr>
            </w:pPr>
          </w:p>
          <w:p w:rsidR="006763DB" w:rsidRPr="006763DB" w:rsidRDefault="006763DB" w:rsidP="006763DB">
            <w:pPr>
              <w:autoSpaceDE w:val="0"/>
              <w:snapToGrid w:val="0"/>
              <w:spacing w:after="0" w:line="240" w:lineRule="auto"/>
              <w:rPr>
                <w:rFonts w:ascii="Times New Roman" w:hAnsi="Times New Roman" w:cs="Times New Roman"/>
                <w:sz w:val="20"/>
                <w:szCs w:val="20"/>
                <w:lang w:val="en-US"/>
              </w:rPr>
            </w:pPr>
            <w:r w:rsidRPr="006763DB">
              <w:rPr>
                <w:rFonts w:ascii="Times New Roman" w:hAnsi="Times New Roman" w:cs="Times New Roman"/>
                <w:sz w:val="20"/>
                <w:szCs w:val="20"/>
                <w:lang w:val="en-US"/>
              </w:rPr>
              <w:t>Lucrările de renovare șe vor limita la lucrările igienizare, reparații, înlocuiri, placaje, vopsitorii, finisaje, alte mici lucrări, etc conform celor menționate în art. 11 din legea nr. 50/1991 privind autorizarea executării lucrărilor de construcții, cu modificări și completări ulterioare, lucrări care nu necesită autorizație de construire. Aceste lucrări vor viza strict cabinetele de asistență medicală stomatologică din ambulatoriile integrate spitalelor de pediatrie sau în ambulatoriile spitalelor publice care au secții de pediatrie.</w:t>
            </w:r>
          </w:p>
          <w:p w:rsidR="006763DB" w:rsidRPr="006763DB" w:rsidRDefault="006763DB" w:rsidP="006763DB">
            <w:pPr>
              <w:autoSpaceDE w:val="0"/>
              <w:snapToGrid w:val="0"/>
              <w:spacing w:after="0" w:line="240" w:lineRule="auto"/>
              <w:rPr>
                <w:rFonts w:ascii="Times New Roman" w:hAnsi="Times New Roman" w:cs="Times New Roman"/>
                <w:sz w:val="20"/>
                <w:szCs w:val="20"/>
                <w:lang w:val="en-US"/>
              </w:rPr>
            </w:pPr>
          </w:p>
          <w:p w:rsidR="00FC1D2B" w:rsidRPr="00F64EE5" w:rsidRDefault="006763DB" w:rsidP="006763DB">
            <w:pPr>
              <w:autoSpaceDE w:val="0"/>
              <w:snapToGrid w:val="0"/>
              <w:spacing w:after="0" w:line="240" w:lineRule="auto"/>
              <w:rPr>
                <w:rFonts w:ascii="Times New Roman" w:hAnsi="Times New Roman" w:cs="Times New Roman"/>
                <w:sz w:val="20"/>
                <w:szCs w:val="20"/>
                <w:lang w:val="en-US"/>
              </w:rPr>
            </w:pPr>
            <w:r w:rsidRPr="006763DB">
              <w:rPr>
                <w:rFonts w:ascii="Times New Roman" w:hAnsi="Times New Roman" w:cs="Times New Roman"/>
                <w:sz w:val="20"/>
                <w:szCs w:val="20"/>
                <w:lang w:val="en-US"/>
              </w:rPr>
              <w:t>În contextul măsurilor de digitalizare este recomandat ca unitatea sanitară sprijinită să utilizeze sau să implementeze măsuri de digitalizare care să permită: programarea online/ telefonică a serviciilor medicale și furnizarea de informații privind serviciile medicale acordate, după caz, dar și un sistem informatic integrat care să permită comunicarea datelor</w:t>
            </w:r>
            <w:r>
              <w:rPr>
                <w:rFonts w:ascii="Times New Roman" w:hAnsi="Times New Roman" w:cs="Times New Roman"/>
                <w:sz w:val="20"/>
                <w:szCs w:val="20"/>
                <w:lang w:val="en-US"/>
              </w:rPr>
              <w:t xml:space="preserve"> </w:t>
            </w:r>
            <w:r w:rsidRPr="006763DB">
              <w:rPr>
                <w:rFonts w:ascii="Times New Roman" w:hAnsi="Times New Roman" w:cs="Times New Roman"/>
                <w:sz w:val="20"/>
                <w:szCs w:val="20"/>
                <w:lang w:val="en-US"/>
              </w:rPr>
              <w:t>medicale</w:t>
            </w:r>
          </w:p>
        </w:tc>
        <w:tc>
          <w:tcPr>
            <w:tcW w:w="1620" w:type="dxa"/>
            <w:tcBorders>
              <w:top w:val="single" w:sz="4" w:space="0" w:color="000000"/>
              <w:left w:val="single" w:sz="4" w:space="0" w:color="000000"/>
              <w:bottom w:val="single" w:sz="4" w:space="0" w:color="000000"/>
            </w:tcBorders>
            <w:shd w:val="clear" w:color="auto" w:fill="auto"/>
          </w:tcPr>
          <w:p w:rsidR="006763DB" w:rsidRDefault="006763DB" w:rsidP="006763DB">
            <w:pPr>
              <w:autoSpaceDE w:val="0"/>
              <w:snapToGrid w:val="0"/>
              <w:spacing w:after="0" w:line="240" w:lineRule="auto"/>
              <w:rPr>
                <w:rFonts w:ascii="Times New Roman" w:hAnsi="Times New Roman" w:cs="Times New Roman"/>
                <w:sz w:val="20"/>
                <w:szCs w:val="20"/>
                <w:lang w:val="en-US"/>
              </w:rPr>
            </w:pPr>
            <w:r w:rsidRPr="006763DB">
              <w:rPr>
                <w:rFonts w:ascii="Times New Roman" w:hAnsi="Times New Roman" w:cs="Times New Roman"/>
                <w:sz w:val="20"/>
                <w:szCs w:val="20"/>
                <w:lang w:val="en-US"/>
              </w:rPr>
              <w:t xml:space="preserve">Valoarea minimă a finanțării eligibile/nerambursabile a unui proiect este de 200.001 euro </w:t>
            </w:r>
          </w:p>
          <w:p w:rsidR="006763DB" w:rsidRPr="006763DB" w:rsidRDefault="006763DB" w:rsidP="006763DB">
            <w:pPr>
              <w:autoSpaceDE w:val="0"/>
              <w:snapToGrid w:val="0"/>
              <w:spacing w:after="0" w:line="240" w:lineRule="auto"/>
              <w:rPr>
                <w:rFonts w:ascii="Times New Roman" w:hAnsi="Times New Roman" w:cs="Times New Roman"/>
                <w:sz w:val="20"/>
                <w:szCs w:val="20"/>
                <w:lang w:val="en-US"/>
              </w:rPr>
            </w:pPr>
          </w:p>
          <w:p w:rsidR="00FC1D2B" w:rsidRPr="00F64EE5" w:rsidRDefault="006763DB" w:rsidP="006763DB">
            <w:pPr>
              <w:autoSpaceDE w:val="0"/>
              <w:snapToGrid w:val="0"/>
              <w:spacing w:after="0" w:line="240" w:lineRule="auto"/>
              <w:rPr>
                <w:rFonts w:ascii="Times New Roman" w:hAnsi="Times New Roman" w:cs="Times New Roman"/>
                <w:sz w:val="20"/>
                <w:szCs w:val="20"/>
                <w:lang w:val="en-US"/>
              </w:rPr>
            </w:pPr>
            <w:r w:rsidRPr="006763DB">
              <w:rPr>
                <w:rFonts w:ascii="Times New Roman" w:hAnsi="Times New Roman" w:cs="Times New Roman"/>
                <w:sz w:val="20"/>
                <w:szCs w:val="20"/>
                <w:lang w:val="en-US"/>
              </w:rPr>
              <w:t>valoarea maximă a finanțării eligibile/nerambursabile a unui proiect este de 250.000 euro.</w:t>
            </w:r>
          </w:p>
        </w:tc>
        <w:tc>
          <w:tcPr>
            <w:tcW w:w="1530" w:type="dxa"/>
            <w:tcBorders>
              <w:top w:val="single" w:sz="4" w:space="0" w:color="000000"/>
              <w:left w:val="single" w:sz="4" w:space="0" w:color="000000"/>
              <w:bottom w:val="single" w:sz="4" w:space="0" w:color="000000"/>
            </w:tcBorders>
            <w:shd w:val="clear" w:color="auto" w:fill="auto"/>
          </w:tcPr>
          <w:p w:rsidR="00FC1D2B" w:rsidRPr="00F64EE5" w:rsidRDefault="006763DB" w:rsidP="00F64EE5">
            <w:pPr>
              <w:autoSpaceDE w:val="0"/>
              <w:snapToGrid w:val="0"/>
              <w:spacing w:after="0" w:line="240" w:lineRule="auto"/>
              <w:rPr>
                <w:rFonts w:ascii="Times New Roman" w:eastAsia="Times New Roman" w:hAnsi="Times New Roman" w:cs="Times New Roman"/>
                <w:sz w:val="16"/>
                <w:szCs w:val="16"/>
                <w:lang w:val="en-US"/>
              </w:rPr>
            </w:pPr>
            <w:r w:rsidRPr="006763DB">
              <w:rPr>
                <w:rFonts w:ascii="Times New Roman" w:eastAsia="Times New Roman" w:hAnsi="Times New Roman" w:cs="Times New Roman"/>
                <w:sz w:val="16"/>
                <w:szCs w:val="16"/>
                <w:lang w:val="en-US"/>
              </w:rPr>
              <w:t>Solicitantul este obligat să asigure o contribuție proprie de minimum 2% din valoarea totală eligibilă a proiectului.</w:t>
            </w:r>
          </w:p>
        </w:tc>
        <w:tc>
          <w:tcPr>
            <w:tcW w:w="1080" w:type="dxa"/>
            <w:tcBorders>
              <w:top w:val="single" w:sz="4" w:space="0" w:color="000000"/>
              <w:left w:val="single" w:sz="4" w:space="0" w:color="000000"/>
              <w:bottom w:val="single" w:sz="4" w:space="0" w:color="000000"/>
            </w:tcBorders>
            <w:shd w:val="clear" w:color="auto" w:fill="auto"/>
          </w:tcPr>
          <w:p w:rsidR="00FC1D2B" w:rsidRPr="00F64EE5" w:rsidRDefault="006763DB" w:rsidP="00B7416F">
            <w:pPr>
              <w:autoSpaceDE w:val="0"/>
              <w:spacing w:after="0" w:line="240" w:lineRule="auto"/>
              <w:rPr>
                <w:rFonts w:ascii="Times New Roman" w:eastAsia="Times New Roman" w:hAnsi="Times New Roman" w:cs="Times New Roman"/>
                <w:sz w:val="18"/>
                <w:szCs w:val="18"/>
                <w:lang w:val="en-US"/>
              </w:rPr>
            </w:pPr>
            <w:r w:rsidRPr="006763DB">
              <w:rPr>
                <w:rFonts w:ascii="Times New Roman" w:eastAsia="Times New Roman" w:hAnsi="Times New Roman" w:cs="Times New Roman"/>
                <w:sz w:val="18"/>
                <w:szCs w:val="18"/>
                <w:lang w:val="en-US"/>
              </w:rPr>
              <w:t>20 septembrie 2024, ora 14:00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FC1D2B" w:rsidRDefault="006763DB" w:rsidP="00B7416F">
            <w:pPr>
              <w:autoSpaceDE w:val="0"/>
              <w:spacing w:after="0" w:line="240" w:lineRule="auto"/>
            </w:pPr>
            <w:hyperlink r:id="rId16" w:history="1">
              <w:r w:rsidRPr="00B802F3">
                <w:rPr>
                  <w:rStyle w:val="Hyperlink"/>
                </w:rPr>
                <w:t>https://www.fonduri-structurale.ro/finantari/886/investitii-pentru-cabinete-de-asistenta-medicala-stomatologica-care-furnizeaza-servicii-copiilor-in-ambulatoriile-integrate-spitalelor-de-pediatrie-sau-ambulatoriile-spitalelor-publice-care-au-sectii-de-pediatrie</w:t>
              </w:r>
            </w:hyperlink>
          </w:p>
          <w:p w:rsidR="006763DB" w:rsidRDefault="006763DB" w:rsidP="00B7416F">
            <w:pPr>
              <w:autoSpaceDE w:val="0"/>
              <w:spacing w:after="0" w:line="240" w:lineRule="auto"/>
            </w:pPr>
          </w:p>
        </w:tc>
      </w:tr>
      <w:tr w:rsidR="006763DB"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3664BD" w:rsidRDefault="003664BD" w:rsidP="003664BD">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lastRenderedPageBreak/>
              <w:t>Ministerul Investiţiilor şi Proiectelor Europene</w:t>
            </w:r>
          </w:p>
          <w:p w:rsidR="003664BD" w:rsidRDefault="003664BD" w:rsidP="003664BD">
            <w:pPr>
              <w:autoSpaceDE w:val="0"/>
              <w:spacing w:after="0" w:line="240" w:lineRule="auto"/>
              <w:rPr>
                <w:rFonts w:ascii="Times New Roman" w:hAnsi="Times New Roman" w:cs="Times New Roman"/>
                <w:b/>
                <w:sz w:val="18"/>
                <w:szCs w:val="18"/>
              </w:rPr>
            </w:pPr>
          </w:p>
          <w:p w:rsidR="003664BD" w:rsidRDefault="003664BD" w:rsidP="003664BD">
            <w:pPr>
              <w:autoSpaceDE w:val="0"/>
              <w:spacing w:after="0" w:line="240" w:lineRule="auto"/>
              <w:rPr>
                <w:rFonts w:ascii="Times New Roman" w:hAnsi="Times New Roman" w:cs="Times New Roman"/>
                <w:b/>
                <w:sz w:val="18"/>
                <w:szCs w:val="18"/>
              </w:rPr>
            </w:pPr>
            <w:r w:rsidRPr="00FC1D2B">
              <w:rPr>
                <w:rFonts w:ascii="Times New Roman" w:hAnsi="Times New Roman" w:cs="Times New Roman"/>
                <w:b/>
                <w:sz w:val="18"/>
                <w:szCs w:val="18"/>
              </w:rPr>
              <w:t xml:space="preserve">Programul Sănătate </w:t>
            </w:r>
          </w:p>
          <w:p w:rsidR="003664BD" w:rsidRDefault="003664BD" w:rsidP="003664BD">
            <w:pPr>
              <w:autoSpaceDE w:val="0"/>
              <w:spacing w:after="0" w:line="240" w:lineRule="auto"/>
              <w:rPr>
                <w:rFonts w:ascii="Times New Roman" w:hAnsi="Times New Roman" w:cs="Times New Roman"/>
                <w:b/>
                <w:sz w:val="18"/>
                <w:szCs w:val="18"/>
              </w:rPr>
            </w:pPr>
          </w:p>
          <w:p w:rsidR="006763DB" w:rsidRDefault="003664BD" w:rsidP="003664BD">
            <w:pPr>
              <w:autoSpaceDE w:val="0"/>
              <w:spacing w:after="0" w:line="240" w:lineRule="auto"/>
              <w:rPr>
                <w:rFonts w:ascii="Times New Roman" w:hAnsi="Times New Roman" w:cs="Times New Roman"/>
                <w:b/>
                <w:sz w:val="18"/>
                <w:szCs w:val="18"/>
              </w:rPr>
            </w:pPr>
            <w:r w:rsidRPr="00FC1D2B">
              <w:rPr>
                <w:rFonts w:ascii="Times New Roman" w:hAnsi="Times New Roman" w:cs="Times New Roman"/>
                <w:b/>
                <w:sz w:val="18"/>
                <w:szCs w:val="18"/>
              </w:rPr>
              <w:t xml:space="preserve">Investiții </w:t>
            </w:r>
            <w:r w:rsidRPr="003664BD">
              <w:rPr>
                <w:rFonts w:ascii="Times New Roman" w:hAnsi="Times New Roman" w:cs="Times New Roman"/>
                <w:b/>
                <w:sz w:val="18"/>
                <w:szCs w:val="18"/>
              </w:rPr>
              <w:t>în infrastructura publică a ambulatoriilor unităților sanitare / structurilor sanitare publice - dotare</w:t>
            </w:r>
          </w:p>
        </w:tc>
        <w:tc>
          <w:tcPr>
            <w:tcW w:w="1953" w:type="dxa"/>
            <w:tcBorders>
              <w:top w:val="single" w:sz="4" w:space="0" w:color="000000"/>
              <w:left w:val="single" w:sz="4" w:space="0" w:color="000000"/>
              <w:bottom w:val="single" w:sz="4" w:space="0" w:color="000000"/>
            </w:tcBorders>
            <w:shd w:val="clear" w:color="auto" w:fill="auto"/>
          </w:tcPr>
          <w:p w:rsidR="006763DB" w:rsidRDefault="003664BD" w:rsidP="00991AC2">
            <w:pPr>
              <w:autoSpaceDE w:val="0"/>
              <w:spacing w:after="0" w:line="240" w:lineRule="auto"/>
              <w:rPr>
                <w:rFonts w:ascii="Times New Roman" w:hAnsi="Times New Roman" w:cs="Times New Roman"/>
                <w:bCs/>
                <w:sz w:val="18"/>
                <w:szCs w:val="18"/>
              </w:rPr>
            </w:pPr>
            <w:r>
              <w:rPr>
                <w:rFonts w:ascii="Times New Roman" w:hAnsi="Times New Roman" w:cs="Times New Roman"/>
                <w:bCs/>
                <w:sz w:val="18"/>
                <w:szCs w:val="18"/>
              </w:rPr>
              <w:t>D</w:t>
            </w:r>
            <w:r w:rsidRPr="003664BD">
              <w:rPr>
                <w:rFonts w:ascii="Times New Roman" w:hAnsi="Times New Roman" w:cs="Times New Roman"/>
                <w:bCs/>
                <w:sz w:val="18"/>
                <w:szCs w:val="18"/>
              </w:rPr>
              <w:t>otarea ambulatoriilor unităților sanitare/structurilor medicale publice care desfășoară activități medicale de tip ambulatoriu/ acordă asistență medicală ambulatorie. Finanțarea principală este destinată achiziționării de echipamente și dotări necesare pentru asigurarea serviciilor medicale în regiunile mai puțin dezvoltate.</w:t>
            </w:r>
          </w:p>
        </w:tc>
        <w:tc>
          <w:tcPr>
            <w:tcW w:w="2159" w:type="dxa"/>
            <w:tcBorders>
              <w:top w:val="single" w:sz="4" w:space="0" w:color="000000"/>
              <w:left w:val="single" w:sz="4" w:space="0" w:color="000000"/>
              <w:bottom w:val="single" w:sz="4" w:space="0" w:color="000000"/>
            </w:tcBorders>
            <w:shd w:val="clear" w:color="auto" w:fill="auto"/>
          </w:tcPr>
          <w:p w:rsidR="003664BD" w:rsidRPr="003664BD" w:rsidRDefault="003664BD" w:rsidP="003664BD">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1.</w:t>
            </w:r>
            <w:r w:rsidRPr="003664BD">
              <w:rPr>
                <w:rFonts w:ascii="Times New Roman" w:hAnsi="Times New Roman" w:cs="Times New Roman"/>
                <w:sz w:val="18"/>
                <w:szCs w:val="18"/>
                <w:lang w:val="en-US"/>
              </w:rPr>
              <w:t>Unități sanitare publice/ structuri publice cu personalitate juridică care desfășoară activități medicale de tip ambulatoriu sau care acordă asistență medicală ambulatorie;</w:t>
            </w:r>
          </w:p>
          <w:p w:rsidR="003664BD" w:rsidRPr="003664BD" w:rsidRDefault="003664BD" w:rsidP="003664BD">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2.</w:t>
            </w:r>
            <w:r w:rsidRPr="003664BD">
              <w:rPr>
                <w:rFonts w:ascii="Times New Roman" w:hAnsi="Times New Roman" w:cs="Times New Roman"/>
                <w:sz w:val="18"/>
                <w:szCs w:val="18"/>
                <w:lang w:val="en-US"/>
              </w:rPr>
              <w:t>Unitățile ad</w:t>
            </w:r>
            <w:r>
              <w:rPr>
                <w:rFonts w:ascii="Times New Roman" w:hAnsi="Times New Roman" w:cs="Times New Roman"/>
                <w:sz w:val="18"/>
                <w:szCs w:val="18"/>
                <w:lang w:val="en-US"/>
              </w:rPr>
              <w:t>ministrativ-teritoriale</w:t>
            </w:r>
            <w:r w:rsidRPr="003664BD">
              <w:rPr>
                <w:rFonts w:ascii="Times New Roman" w:hAnsi="Times New Roman" w:cs="Times New Roman"/>
                <w:sz w:val="18"/>
                <w:szCs w:val="18"/>
                <w:lang w:val="en-US"/>
              </w:rPr>
              <w:t>, care au în coordonare/ subordonare/ autoritate sau dețin în administrare/ proprietate unitățile de la punctul 1);</w:t>
            </w:r>
          </w:p>
          <w:p w:rsidR="003664BD" w:rsidRPr="003664BD" w:rsidRDefault="003664BD" w:rsidP="003664BD">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3.</w:t>
            </w:r>
            <w:r w:rsidRPr="003664BD">
              <w:rPr>
                <w:rFonts w:ascii="Times New Roman" w:hAnsi="Times New Roman" w:cs="Times New Roman"/>
                <w:sz w:val="18"/>
                <w:szCs w:val="18"/>
                <w:lang w:val="en-US"/>
              </w:rPr>
              <w:t>Unitățile administrativ-teritoriale, care administrează de drept și vor pune la dispoziția parteneriatului terenuri şi clădiri în vederea realizării proiectului;</w:t>
            </w:r>
          </w:p>
          <w:p w:rsidR="003664BD" w:rsidRPr="003664BD" w:rsidRDefault="003664BD" w:rsidP="003664BD">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4.</w:t>
            </w:r>
            <w:r w:rsidRPr="003664BD">
              <w:rPr>
                <w:rFonts w:ascii="Times New Roman" w:hAnsi="Times New Roman" w:cs="Times New Roman"/>
                <w:sz w:val="18"/>
                <w:szCs w:val="18"/>
                <w:lang w:val="en-US"/>
              </w:rPr>
              <w:t xml:space="preserve">Ministerul Sănătății, alte autorități și instituții publice centrale, care au în coordonare/ subordonare/ autoritate sau dețin în administrare/ proprietate unitățile de la punctul 1); </w:t>
            </w:r>
          </w:p>
          <w:p w:rsidR="003664BD" w:rsidRDefault="003664BD" w:rsidP="003664BD">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5.</w:t>
            </w:r>
            <w:r w:rsidRPr="003664BD">
              <w:rPr>
                <w:rFonts w:ascii="Times New Roman" w:hAnsi="Times New Roman" w:cs="Times New Roman"/>
                <w:sz w:val="18"/>
                <w:szCs w:val="18"/>
                <w:lang w:val="en-US"/>
              </w:rPr>
              <w:t>Universități publice de medicină, pentru ambulatoriile acestora.</w:t>
            </w:r>
          </w:p>
          <w:p w:rsidR="003664BD" w:rsidRPr="003664BD" w:rsidRDefault="003664BD" w:rsidP="003664BD">
            <w:pPr>
              <w:autoSpaceDE w:val="0"/>
              <w:spacing w:after="0" w:line="240" w:lineRule="auto"/>
              <w:rPr>
                <w:rFonts w:ascii="Times New Roman" w:hAnsi="Times New Roman" w:cs="Times New Roman"/>
                <w:sz w:val="18"/>
                <w:szCs w:val="18"/>
                <w:lang w:val="en-US"/>
              </w:rPr>
            </w:pPr>
          </w:p>
          <w:p w:rsidR="003664BD" w:rsidRPr="003664BD" w:rsidRDefault="003664BD" w:rsidP="003664BD">
            <w:pPr>
              <w:autoSpaceDE w:val="0"/>
              <w:spacing w:after="0" w:line="240" w:lineRule="auto"/>
              <w:rPr>
                <w:rFonts w:ascii="Times New Roman" w:hAnsi="Times New Roman" w:cs="Times New Roman"/>
                <w:sz w:val="18"/>
                <w:szCs w:val="18"/>
                <w:lang w:val="en-US"/>
              </w:rPr>
            </w:pPr>
            <w:r w:rsidRPr="003664BD">
              <w:rPr>
                <w:rFonts w:ascii="Times New Roman" w:hAnsi="Times New Roman" w:cs="Times New Roman"/>
                <w:sz w:val="18"/>
                <w:szCs w:val="18"/>
                <w:lang w:val="en-US"/>
              </w:rPr>
              <w:t>Parteneriatele sunt eligiibile între entitățile de la punctele 1-5.</w:t>
            </w:r>
          </w:p>
          <w:p w:rsidR="003664BD" w:rsidRPr="003664BD" w:rsidRDefault="003664BD" w:rsidP="003664BD">
            <w:pPr>
              <w:autoSpaceDE w:val="0"/>
              <w:spacing w:after="0" w:line="240" w:lineRule="auto"/>
              <w:rPr>
                <w:rFonts w:ascii="Times New Roman" w:hAnsi="Times New Roman" w:cs="Times New Roman"/>
                <w:sz w:val="18"/>
                <w:szCs w:val="18"/>
                <w:lang w:val="en-US"/>
              </w:rPr>
            </w:pPr>
          </w:p>
          <w:p w:rsidR="006763DB" w:rsidRPr="006763DB" w:rsidRDefault="003664BD" w:rsidP="003664BD">
            <w:pPr>
              <w:autoSpaceDE w:val="0"/>
              <w:spacing w:after="0" w:line="240" w:lineRule="auto"/>
              <w:rPr>
                <w:rFonts w:ascii="Times New Roman" w:hAnsi="Times New Roman" w:cs="Times New Roman"/>
                <w:sz w:val="18"/>
                <w:szCs w:val="18"/>
                <w:lang w:val="en-US"/>
              </w:rPr>
            </w:pPr>
            <w:r w:rsidRPr="003664BD">
              <w:rPr>
                <w:rFonts w:ascii="Times New Roman" w:hAnsi="Times New Roman" w:cs="Times New Roman"/>
                <w:sz w:val="18"/>
                <w:szCs w:val="18"/>
                <w:lang w:val="en-US"/>
              </w:rPr>
              <w:t>Pentru solicitanții de la punctul 3 este obligatorie formarea unui parteneriat cu o unitate sanitară de la punctul 1.</w:t>
            </w:r>
          </w:p>
        </w:tc>
        <w:tc>
          <w:tcPr>
            <w:tcW w:w="4050" w:type="dxa"/>
            <w:tcBorders>
              <w:top w:val="single" w:sz="4" w:space="0" w:color="000000"/>
              <w:left w:val="single" w:sz="4" w:space="0" w:color="000000"/>
              <w:bottom w:val="single" w:sz="4" w:space="0" w:color="000000"/>
            </w:tcBorders>
            <w:shd w:val="clear" w:color="auto" w:fill="auto"/>
          </w:tcPr>
          <w:p w:rsidR="003664BD" w:rsidRPr="003664BD" w:rsidRDefault="003664BD" w:rsidP="003664BD">
            <w:pPr>
              <w:autoSpaceDE w:val="0"/>
              <w:snapToGrid w:val="0"/>
              <w:spacing w:after="0" w:line="240" w:lineRule="auto"/>
              <w:rPr>
                <w:rFonts w:ascii="Times New Roman" w:hAnsi="Times New Roman" w:cs="Times New Roman"/>
                <w:sz w:val="20"/>
                <w:szCs w:val="20"/>
                <w:lang w:val="en-US"/>
              </w:rPr>
            </w:pPr>
            <w:r w:rsidRPr="003664BD">
              <w:rPr>
                <w:rFonts w:ascii="Times New Roman" w:hAnsi="Times New Roman" w:cs="Times New Roman"/>
                <w:sz w:val="20"/>
                <w:szCs w:val="20"/>
                <w:lang w:val="en-US"/>
              </w:rPr>
              <w:t>Activitățile eligibile</w:t>
            </w:r>
            <w:r>
              <w:rPr>
                <w:rFonts w:ascii="Times New Roman" w:hAnsi="Times New Roman" w:cs="Times New Roman"/>
                <w:sz w:val="20"/>
                <w:szCs w:val="20"/>
                <w:lang w:val="en-US"/>
              </w:rPr>
              <w:t>:</w:t>
            </w:r>
            <w:r w:rsidRPr="003664BD">
              <w:rPr>
                <w:rFonts w:ascii="Times New Roman" w:hAnsi="Times New Roman" w:cs="Times New Roman"/>
                <w:sz w:val="20"/>
                <w:szCs w:val="20"/>
                <w:lang w:val="en-US"/>
              </w:rPr>
              <w:t xml:space="preserve"> </w:t>
            </w:r>
          </w:p>
          <w:p w:rsidR="003664BD" w:rsidRPr="003664BD" w:rsidRDefault="003664BD" w:rsidP="003664BD">
            <w:pPr>
              <w:autoSpaceDE w:val="0"/>
              <w:snapToGrid w:val="0"/>
              <w:spacing w:after="0" w:line="240" w:lineRule="auto"/>
              <w:rPr>
                <w:rFonts w:ascii="Times New Roman" w:hAnsi="Times New Roman" w:cs="Times New Roman"/>
                <w:sz w:val="20"/>
                <w:szCs w:val="20"/>
                <w:lang w:val="en-US"/>
              </w:rPr>
            </w:pPr>
          </w:p>
          <w:p w:rsidR="003664BD" w:rsidRDefault="003664BD" w:rsidP="003664BD">
            <w:pPr>
              <w:autoSpaceDE w:val="0"/>
              <w:snapToGrid w:val="0"/>
              <w:spacing w:after="0" w:line="240" w:lineRule="auto"/>
              <w:rPr>
                <w:rFonts w:ascii="Times New Roman" w:hAnsi="Times New Roman" w:cs="Times New Roman"/>
                <w:sz w:val="20"/>
                <w:szCs w:val="20"/>
                <w:lang w:val="en-US"/>
              </w:rPr>
            </w:pPr>
            <w:r w:rsidRPr="003664BD">
              <w:rPr>
                <w:rFonts w:ascii="Times New Roman" w:hAnsi="Times New Roman" w:cs="Times New Roman"/>
                <w:sz w:val="20"/>
                <w:szCs w:val="20"/>
                <w:lang w:val="en-US"/>
              </w:rPr>
              <w:t>Se vizează exclusiv dotarea cu echipamente a ambulatoriilor unităților sanitare publice sau structurile publice care desfășoară activități medicale de tip ambulatoriu sau care acordă asistență medicală ambulatorie, inclusiv a laboratoarelor de analize medicale și de imagistică care deservesc ambulatoriile unităților sanitare/ structurilor sanitare publice care desfășoară activități medicale de tip ambulatoriu/ acordă asistență medicală ambulatorie.</w:t>
            </w:r>
          </w:p>
          <w:p w:rsidR="003664BD" w:rsidRPr="003664BD" w:rsidRDefault="003664BD" w:rsidP="003664BD">
            <w:pPr>
              <w:autoSpaceDE w:val="0"/>
              <w:snapToGrid w:val="0"/>
              <w:spacing w:after="0" w:line="240" w:lineRule="auto"/>
              <w:rPr>
                <w:rFonts w:ascii="Times New Roman" w:hAnsi="Times New Roman" w:cs="Times New Roman"/>
                <w:sz w:val="20"/>
                <w:szCs w:val="20"/>
                <w:lang w:val="en-US"/>
              </w:rPr>
            </w:pPr>
          </w:p>
          <w:p w:rsidR="006763DB" w:rsidRPr="006763DB" w:rsidRDefault="003664BD" w:rsidP="003664BD">
            <w:pPr>
              <w:autoSpaceDE w:val="0"/>
              <w:snapToGrid w:val="0"/>
              <w:spacing w:after="0" w:line="240" w:lineRule="auto"/>
              <w:rPr>
                <w:rFonts w:ascii="Times New Roman" w:hAnsi="Times New Roman" w:cs="Times New Roman"/>
                <w:sz w:val="20"/>
                <w:szCs w:val="20"/>
                <w:lang w:val="en-US"/>
              </w:rPr>
            </w:pPr>
            <w:r w:rsidRPr="003664BD">
              <w:rPr>
                <w:rFonts w:ascii="Times New Roman" w:hAnsi="Times New Roman" w:cs="Times New Roman"/>
                <w:sz w:val="20"/>
                <w:szCs w:val="20"/>
                <w:lang w:val="en-US"/>
              </w:rPr>
              <w:t>Dotarea cu echipamente specifice are scopul de a crește gradul de accesibilitate a populației la serviciile publice de sănătate și de a îmbunătăți calitatea serviciilor publice de sănătate prestate – obiecte de inventar/ mijloace fixe necesare desfășurării activității medicale, echipamente medicale, inclusiv laboratoare și echipamente și sisteme IT pentru digitalizarea activităților unității sanitare publice, precum și a celor aferente activităților suport pentru derularea activității medicale.</w:t>
            </w:r>
          </w:p>
        </w:tc>
        <w:tc>
          <w:tcPr>
            <w:tcW w:w="1620" w:type="dxa"/>
            <w:tcBorders>
              <w:top w:val="single" w:sz="4" w:space="0" w:color="000000"/>
              <w:left w:val="single" w:sz="4" w:space="0" w:color="000000"/>
              <w:bottom w:val="single" w:sz="4" w:space="0" w:color="000000"/>
            </w:tcBorders>
            <w:shd w:val="clear" w:color="auto" w:fill="auto"/>
          </w:tcPr>
          <w:p w:rsidR="003664BD" w:rsidRDefault="003664BD" w:rsidP="003664BD">
            <w:pPr>
              <w:autoSpaceDE w:val="0"/>
              <w:snapToGrid w:val="0"/>
              <w:spacing w:after="0" w:line="240" w:lineRule="auto"/>
              <w:rPr>
                <w:rFonts w:ascii="Times New Roman" w:hAnsi="Times New Roman" w:cs="Times New Roman"/>
                <w:sz w:val="20"/>
                <w:szCs w:val="20"/>
                <w:lang w:val="en-US"/>
              </w:rPr>
            </w:pPr>
            <w:r w:rsidRPr="003664BD">
              <w:rPr>
                <w:rFonts w:ascii="Times New Roman" w:hAnsi="Times New Roman" w:cs="Times New Roman"/>
                <w:sz w:val="20"/>
                <w:szCs w:val="20"/>
                <w:lang w:val="en-US"/>
              </w:rPr>
              <w:t>Valoarea minimă eligibilă a proiectului este de 200.001 euro.</w:t>
            </w:r>
          </w:p>
          <w:p w:rsidR="003664BD" w:rsidRPr="003664BD" w:rsidRDefault="003664BD" w:rsidP="003664BD">
            <w:pPr>
              <w:autoSpaceDE w:val="0"/>
              <w:snapToGrid w:val="0"/>
              <w:spacing w:after="0" w:line="240" w:lineRule="auto"/>
              <w:rPr>
                <w:rFonts w:ascii="Times New Roman" w:hAnsi="Times New Roman" w:cs="Times New Roman"/>
                <w:sz w:val="20"/>
                <w:szCs w:val="20"/>
                <w:lang w:val="en-US"/>
              </w:rPr>
            </w:pPr>
          </w:p>
          <w:p w:rsidR="006763DB" w:rsidRPr="006763DB" w:rsidRDefault="003664BD" w:rsidP="003664BD">
            <w:pPr>
              <w:autoSpaceDE w:val="0"/>
              <w:snapToGrid w:val="0"/>
              <w:spacing w:after="0" w:line="240" w:lineRule="auto"/>
              <w:rPr>
                <w:rFonts w:ascii="Times New Roman" w:hAnsi="Times New Roman" w:cs="Times New Roman"/>
                <w:sz w:val="20"/>
                <w:szCs w:val="20"/>
                <w:lang w:val="en-US"/>
              </w:rPr>
            </w:pPr>
            <w:r w:rsidRPr="003664BD">
              <w:rPr>
                <w:rFonts w:ascii="Times New Roman" w:hAnsi="Times New Roman" w:cs="Times New Roman"/>
                <w:sz w:val="20"/>
                <w:szCs w:val="20"/>
                <w:lang w:val="en-US"/>
              </w:rPr>
              <w:t>Valoarea maximă eligibilă a proiectului este de 3.000.000 euro.</w:t>
            </w:r>
          </w:p>
        </w:tc>
        <w:tc>
          <w:tcPr>
            <w:tcW w:w="1530" w:type="dxa"/>
            <w:tcBorders>
              <w:top w:val="single" w:sz="4" w:space="0" w:color="000000"/>
              <w:left w:val="single" w:sz="4" w:space="0" w:color="000000"/>
              <w:bottom w:val="single" w:sz="4" w:space="0" w:color="000000"/>
            </w:tcBorders>
            <w:shd w:val="clear" w:color="auto" w:fill="auto"/>
          </w:tcPr>
          <w:p w:rsidR="006763DB" w:rsidRPr="006763DB" w:rsidRDefault="003664BD" w:rsidP="00F64EE5">
            <w:pPr>
              <w:autoSpaceDE w:val="0"/>
              <w:snapToGrid w:val="0"/>
              <w:spacing w:after="0" w:line="240" w:lineRule="auto"/>
              <w:rPr>
                <w:rFonts w:ascii="Times New Roman" w:eastAsia="Times New Roman" w:hAnsi="Times New Roman" w:cs="Times New Roman"/>
                <w:sz w:val="16"/>
                <w:szCs w:val="16"/>
                <w:lang w:val="en-US"/>
              </w:rPr>
            </w:pPr>
            <w:r w:rsidRPr="003664BD">
              <w:rPr>
                <w:rFonts w:ascii="Times New Roman" w:eastAsia="Times New Roman" w:hAnsi="Times New Roman" w:cs="Times New Roman"/>
                <w:sz w:val="16"/>
                <w:szCs w:val="16"/>
                <w:lang w:val="en-US"/>
              </w:rPr>
              <w:t>Solicitantul și/sau partenerii vor asigura o cofinanțare proprie de minim 2% din valoarea totală eligibilă a proiectului.</w:t>
            </w:r>
          </w:p>
        </w:tc>
        <w:tc>
          <w:tcPr>
            <w:tcW w:w="1080" w:type="dxa"/>
            <w:tcBorders>
              <w:top w:val="single" w:sz="4" w:space="0" w:color="000000"/>
              <w:left w:val="single" w:sz="4" w:space="0" w:color="000000"/>
              <w:bottom w:val="single" w:sz="4" w:space="0" w:color="000000"/>
            </w:tcBorders>
            <w:shd w:val="clear" w:color="auto" w:fill="auto"/>
          </w:tcPr>
          <w:p w:rsidR="006763DB" w:rsidRPr="006763DB" w:rsidRDefault="003664BD" w:rsidP="00B7416F">
            <w:pPr>
              <w:autoSpaceDE w:val="0"/>
              <w:spacing w:after="0" w:line="240" w:lineRule="auto"/>
              <w:rPr>
                <w:rFonts w:ascii="Times New Roman" w:eastAsia="Times New Roman" w:hAnsi="Times New Roman" w:cs="Times New Roman"/>
                <w:sz w:val="18"/>
                <w:szCs w:val="18"/>
                <w:lang w:val="en-US"/>
              </w:rPr>
            </w:pPr>
            <w:r w:rsidRPr="003664BD">
              <w:rPr>
                <w:rFonts w:ascii="Times New Roman" w:eastAsia="Times New Roman" w:hAnsi="Times New Roman" w:cs="Times New Roman"/>
                <w:sz w:val="18"/>
                <w:szCs w:val="18"/>
                <w:lang w:val="en-US"/>
              </w:rPr>
              <w:t>30.08.2024</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6763DB" w:rsidRDefault="003664BD" w:rsidP="00B7416F">
            <w:pPr>
              <w:autoSpaceDE w:val="0"/>
              <w:spacing w:after="0" w:line="240" w:lineRule="auto"/>
            </w:pPr>
            <w:hyperlink r:id="rId17" w:history="1">
              <w:r w:rsidRPr="00B802F3">
                <w:rPr>
                  <w:rStyle w:val="Hyperlink"/>
                </w:rPr>
                <w:t>https://www.fonduri-structurale.ro/finantari/871/investitii-in-infrastructura-publica-a-ambulatoriilor-unitatilor-sanitare-structurilor-sanitare-publice-dotare</w:t>
              </w:r>
            </w:hyperlink>
          </w:p>
          <w:p w:rsidR="003664BD" w:rsidRDefault="003664BD" w:rsidP="00B7416F">
            <w:pPr>
              <w:autoSpaceDE w:val="0"/>
              <w:spacing w:after="0" w:line="240" w:lineRule="auto"/>
            </w:pPr>
          </w:p>
        </w:tc>
      </w:tr>
    </w:tbl>
    <w:p w:rsidR="00666700" w:rsidRDefault="00666700" w:rsidP="00F746E3"/>
    <w:sectPr w:rsidR="00666700" w:rsidSect="007B3C58">
      <w:headerReference w:type="default" r:id="rId18"/>
      <w:footerReference w:type="default" r:id="rId19"/>
      <w:headerReference w:type="first" r:id="rId20"/>
      <w:footerReference w:type="first" r:id="rId21"/>
      <w:pgSz w:w="16838" w:h="11906" w:orient="landscape"/>
      <w:pgMar w:top="1702" w:right="1417" w:bottom="426" w:left="1417"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4F9" w:rsidRDefault="00ED74F9">
      <w:pPr>
        <w:spacing w:after="0" w:line="240" w:lineRule="auto"/>
      </w:pPr>
      <w:r>
        <w:separator/>
      </w:r>
    </w:p>
  </w:endnote>
  <w:endnote w:type="continuationSeparator" w:id="1">
    <w:p w:rsidR="00ED74F9" w:rsidRDefault="00ED74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OpenSymbol">
    <w:altName w:val="Arial Unicode MS"/>
    <w:charset w:val="02"/>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pPr>
      <w:pStyle w:val="Footer"/>
      <w:jc w:val="center"/>
      <w:rPr>
        <w:rFonts w:ascii="Arial" w:hAnsi="Arial" w:cs="Arial"/>
        <w:sz w:val="20"/>
        <w:szCs w:val="20"/>
      </w:rPr>
    </w:pPr>
  </w:p>
  <w:p w:rsidR="00C1431E" w:rsidRDefault="00C1431E">
    <w:pPr>
      <w:pStyle w:val="Footer"/>
      <w:jc w:val="center"/>
      <w:rPr>
        <w:rFonts w:ascii="Arial" w:hAnsi="Arial" w:cs="Arial"/>
        <w:sz w:val="20"/>
        <w:szCs w:val="20"/>
      </w:rPr>
    </w:pPr>
  </w:p>
  <w:p w:rsidR="00C1431E" w:rsidRDefault="00C1431E">
    <w:pPr>
      <w:pStyle w:val="Footer"/>
      <w:jc w:val="center"/>
    </w:pPr>
    <w:r>
      <w:rPr>
        <w:rFonts w:ascii="Arial" w:hAnsi="Arial" w:cs="Arial"/>
        <w:sz w:val="20"/>
        <w:szCs w:val="20"/>
      </w:rPr>
      <w:tab/>
      <w:t>P-ţa 25 Octombrie, nr.1, 440026 - Satu Mare</w:t>
    </w:r>
  </w:p>
  <w:p w:rsidR="00C1431E" w:rsidRDefault="00C1431E">
    <w:pPr>
      <w:pStyle w:val="Footer"/>
      <w:jc w:val="center"/>
    </w:pPr>
    <w:r>
      <w:rPr>
        <w:rFonts w:ascii="Arial" w:eastAsia="Arial" w:hAnsi="Arial" w:cs="Arial"/>
        <w:sz w:val="17"/>
        <w:szCs w:val="17"/>
      </w:rPr>
      <w:t xml:space="preserve">                                                                    </w:t>
    </w:r>
    <w:r>
      <w:rPr>
        <w:rFonts w:ascii="Arial" w:hAnsi="Arial" w:cs="Arial"/>
        <w:sz w:val="17"/>
        <w:szCs w:val="17"/>
      </w:rPr>
      <w:t xml:space="preserve">Tel.: +40 742 921 114 • E-mail: adijudetsm@yahoo.com • Web: www. adijudetulsatumare.ro                                                                              </w:t>
    </w:r>
    <w:r w:rsidR="00EF408F">
      <w:rPr>
        <w:rFonts w:cs="Arial"/>
        <w:sz w:val="17"/>
        <w:szCs w:val="17"/>
      </w:rPr>
      <w:fldChar w:fldCharType="begin"/>
    </w:r>
    <w:r>
      <w:rPr>
        <w:rFonts w:cs="Arial"/>
        <w:sz w:val="17"/>
        <w:szCs w:val="17"/>
      </w:rPr>
      <w:instrText xml:space="preserve"> PAGE </w:instrText>
    </w:r>
    <w:r w:rsidR="00EF408F">
      <w:rPr>
        <w:rFonts w:cs="Arial"/>
        <w:sz w:val="17"/>
        <w:szCs w:val="17"/>
      </w:rPr>
      <w:fldChar w:fldCharType="separate"/>
    </w:r>
    <w:r w:rsidR="00685675">
      <w:rPr>
        <w:rFonts w:cs="Arial"/>
        <w:noProof/>
        <w:sz w:val="17"/>
        <w:szCs w:val="17"/>
      </w:rPr>
      <w:t>2</w:t>
    </w:r>
    <w:r w:rsidR="00EF408F">
      <w:rPr>
        <w:rFonts w:cs="Arial"/>
        <w:sz w:val="17"/>
        <w:szCs w:val="17"/>
      </w:rPr>
      <w:fldChar w:fldCharType="end"/>
    </w:r>
  </w:p>
  <w:p w:rsidR="00C1431E" w:rsidRDefault="00C143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4F9" w:rsidRDefault="00ED74F9">
      <w:pPr>
        <w:spacing w:after="0" w:line="240" w:lineRule="auto"/>
      </w:pPr>
      <w:r>
        <w:separator/>
      </w:r>
    </w:p>
  </w:footnote>
  <w:footnote w:type="continuationSeparator" w:id="1">
    <w:p w:rsidR="00ED74F9" w:rsidRDefault="00ED74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pPr>
      <w:pStyle w:val="Header"/>
      <w:rPr>
        <w:szCs w:val="20"/>
        <w:lang w:val="en-US" w:eastAsia="en-US"/>
      </w:rPr>
    </w:pPr>
    <w:r>
      <w:rPr>
        <w:noProof/>
        <w:lang w:val="en-US" w:eastAsia="en-US" w:bidi="he-IL"/>
      </w:rPr>
      <w:drawing>
        <wp:anchor distT="0" distB="0" distL="114935" distR="114935" simplePos="0" relativeHeight="251657728" behindDoc="0" locked="0" layoutInCell="1" allowOverlap="1">
          <wp:simplePos x="0" y="0"/>
          <wp:positionH relativeFrom="page">
            <wp:posOffset>47625</wp:posOffset>
          </wp:positionH>
          <wp:positionV relativeFrom="page">
            <wp:posOffset>76200</wp:posOffset>
          </wp:positionV>
          <wp:extent cx="10509885" cy="1165860"/>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 t="-143" r="-21" b="-143"/>
                  <a:stretch>
                    <a:fillRect/>
                  </a:stretch>
                </pic:blipFill>
                <pic:spPr bwMode="auto">
                  <a:xfrm>
                    <a:off x="0" y="0"/>
                    <a:ext cx="10509885" cy="1165860"/>
                  </a:xfrm>
                  <a:prstGeom prst="rect">
                    <a:avLst/>
                  </a:prstGeom>
                  <a:solidFill>
                    <a:srgbClr val="FFFFFF">
                      <a:alpha val="0"/>
                    </a:srgbClr>
                  </a:solid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3706AA2"/>
    <w:multiLevelType w:val="hybridMultilevel"/>
    <w:tmpl w:val="33128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93086"/>
    <w:multiLevelType w:val="hybridMultilevel"/>
    <w:tmpl w:val="555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F16B8"/>
    <w:multiLevelType w:val="hybridMultilevel"/>
    <w:tmpl w:val="D7C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2172D4"/>
    <w:multiLevelType w:val="hybridMultilevel"/>
    <w:tmpl w:val="22B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A31E8A"/>
    <w:multiLevelType w:val="hybridMultilevel"/>
    <w:tmpl w:val="9890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780A82"/>
    <w:multiLevelType w:val="hybridMultilevel"/>
    <w:tmpl w:val="B8925A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7">
    <w:nsid w:val="607778F7"/>
    <w:multiLevelType w:val="hybridMultilevel"/>
    <w:tmpl w:val="013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48461D"/>
    <w:multiLevelType w:val="hybridMultilevel"/>
    <w:tmpl w:val="228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8"/>
  </w:num>
  <w:num w:numId="6">
    <w:abstractNumId w:val="6"/>
  </w:num>
  <w:num w:numId="7">
    <w:abstractNumId w:val="4"/>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1986"/>
  </w:hdrShapeDefaults>
  <w:footnotePr>
    <w:footnote w:id="0"/>
    <w:footnote w:id="1"/>
  </w:footnotePr>
  <w:endnotePr>
    <w:endnote w:id="0"/>
    <w:endnote w:id="1"/>
  </w:endnotePr>
  <w:compat/>
  <w:rsids>
    <w:rsidRoot w:val="00B829DC"/>
    <w:rsid w:val="00012581"/>
    <w:rsid w:val="00037B02"/>
    <w:rsid w:val="000613B6"/>
    <w:rsid w:val="00077435"/>
    <w:rsid w:val="00092CAA"/>
    <w:rsid w:val="0009787E"/>
    <w:rsid w:val="000B17BF"/>
    <w:rsid w:val="000C5944"/>
    <w:rsid w:val="000D156B"/>
    <w:rsid w:val="000D680C"/>
    <w:rsid w:val="000E3C01"/>
    <w:rsid w:val="000F105D"/>
    <w:rsid w:val="000F39C6"/>
    <w:rsid w:val="00100066"/>
    <w:rsid w:val="00103A9B"/>
    <w:rsid w:val="0013434D"/>
    <w:rsid w:val="0014556E"/>
    <w:rsid w:val="00154427"/>
    <w:rsid w:val="001751C1"/>
    <w:rsid w:val="00175820"/>
    <w:rsid w:val="00194D64"/>
    <w:rsid w:val="001959C6"/>
    <w:rsid w:val="001967BB"/>
    <w:rsid w:val="001C5575"/>
    <w:rsid w:val="001F2B97"/>
    <w:rsid w:val="00203D96"/>
    <w:rsid w:val="0023185D"/>
    <w:rsid w:val="00252215"/>
    <w:rsid w:val="002702B1"/>
    <w:rsid w:val="00293673"/>
    <w:rsid w:val="002A5D9B"/>
    <w:rsid w:val="002A5F60"/>
    <w:rsid w:val="002D42D3"/>
    <w:rsid w:val="003118F4"/>
    <w:rsid w:val="003225BE"/>
    <w:rsid w:val="00322824"/>
    <w:rsid w:val="00323671"/>
    <w:rsid w:val="0032560E"/>
    <w:rsid w:val="00334178"/>
    <w:rsid w:val="00364EBC"/>
    <w:rsid w:val="003664BD"/>
    <w:rsid w:val="00373EAF"/>
    <w:rsid w:val="00384659"/>
    <w:rsid w:val="003E4071"/>
    <w:rsid w:val="003E4B67"/>
    <w:rsid w:val="003F750E"/>
    <w:rsid w:val="00412E5B"/>
    <w:rsid w:val="004150B7"/>
    <w:rsid w:val="00425E22"/>
    <w:rsid w:val="004277C6"/>
    <w:rsid w:val="00444F49"/>
    <w:rsid w:val="0045294B"/>
    <w:rsid w:val="00467D9A"/>
    <w:rsid w:val="004721D0"/>
    <w:rsid w:val="00473166"/>
    <w:rsid w:val="0047438F"/>
    <w:rsid w:val="00481A35"/>
    <w:rsid w:val="004A6059"/>
    <w:rsid w:val="004B4D59"/>
    <w:rsid w:val="0050176C"/>
    <w:rsid w:val="0051025D"/>
    <w:rsid w:val="00513401"/>
    <w:rsid w:val="00515311"/>
    <w:rsid w:val="0053482E"/>
    <w:rsid w:val="00542C19"/>
    <w:rsid w:val="00552CE0"/>
    <w:rsid w:val="00555EAF"/>
    <w:rsid w:val="00556690"/>
    <w:rsid w:val="00574E9E"/>
    <w:rsid w:val="005A7381"/>
    <w:rsid w:val="005C158B"/>
    <w:rsid w:val="005C55A1"/>
    <w:rsid w:val="005D5269"/>
    <w:rsid w:val="005D5FE4"/>
    <w:rsid w:val="005E1DE4"/>
    <w:rsid w:val="005F6C02"/>
    <w:rsid w:val="00607369"/>
    <w:rsid w:val="00635AB3"/>
    <w:rsid w:val="00642E6B"/>
    <w:rsid w:val="0064661F"/>
    <w:rsid w:val="00655ADF"/>
    <w:rsid w:val="00656E04"/>
    <w:rsid w:val="00666700"/>
    <w:rsid w:val="006706CC"/>
    <w:rsid w:val="00674C8A"/>
    <w:rsid w:val="006763DB"/>
    <w:rsid w:val="00677E6D"/>
    <w:rsid w:val="00684EBC"/>
    <w:rsid w:val="00685675"/>
    <w:rsid w:val="006856C8"/>
    <w:rsid w:val="00690BFC"/>
    <w:rsid w:val="006B20EF"/>
    <w:rsid w:val="006E09DD"/>
    <w:rsid w:val="006E5C5E"/>
    <w:rsid w:val="006E68D0"/>
    <w:rsid w:val="006E7D0E"/>
    <w:rsid w:val="00700345"/>
    <w:rsid w:val="00701B60"/>
    <w:rsid w:val="00731AE9"/>
    <w:rsid w:val="0073325D"/>
    <w:rsid w:val="00735812"/>
    <w:rsid w:val="00755DBB"/>
    <w:rsid w:val="00757780"/>
    <w:rsid w:val="00762A48"/>
    <w:rsid w:val="0077147A"/>
    <w:rsid w:val="00773477"/>
    <w:rsid w:val="007744AA"/>
    <w:rsid w:val="00795942"/>
    <w:rsid w:val="007B1828"/>
    <w:rsid w:val="007B3C58"/>
    <w:rsid w:val="007C69C8"/>
    <w:rsid w:val="00815A51"/>
    <w:rsid w:val="00817AA3"/>
    <w:rsid w:val="00822E74"/>
    <w:rsid w:val="00840481"/>
    <w:rsid w:val="00871A5A"/>
    <w:rsid w:val="00877274"/>
    <w:rsid w:val="008910BC"/>
    <w:rsid w:val="0089413B"/>
    <w:rsid w:val="008B178F"/>
    <w:rsid w:val="008B2B18"/>
    <w:rsid w:val="008D5281"/>
    <w:rsid w:val="008E533D"/>
    <w:rsid w:val="008F36FA"/>
    <w:rsid w:val="008F551C"/>
    <w:rsid w:val="009037B8"/>
    <w:rsid w:val="0090531F"/>
    <w:rsid w:val="00907114"/>
    <w:rsid w:val="00932900"/>
    <w:rsid w:val="009358C8"/>
    <w:rsid w:val="00946A42"/>
    <w:rsid w:val="00946FE0"/>
    <w:rsid w:val="00952549"/>
    <w:rsid w:val="00955210"/>
    <w:rsid w:val="00986EC6"/>
    <w:rsid w:val="00991AC2"/>
    <w:rsid w:val="009A68A1"/>
    <w:rsid w:val="009B1336"/>
    <w:rsid w:val="009B7FE1"/>
    <w:rsid w:val="009C0FB7"/>
    <w:rsid w:val="009E51A3"/>
    <w:rsid w:val="00A05670"/>
    <w:rsid w:val="00A05A50"/>
    <w:rsid w:val="00A3397A"/>
    <w:rsid w:val="00A47FC9"/>
    <w:rsid w:val="00A51D70"/>
    <w:rsid w:val="00A86C00"/>
    <w:rsid w:val="00A92E93"/>
    <w:rsid w:val="00AA7E7F"/>
    <w:rsid w:val="00AB13BF"/>
    <w:rsid w:val="00AB59C3"/>
    <w:rsid w:val="00AB6ABA"/>
    <w:rsid w:val="00B075FA"/>
    <w:rsid w:val="00B156FF"/>
    <w:rsid w:val="00B51802"/>
    <w:rsid w:val="00B52EA0"/>
    <w:rsid w:val="00B64861"/>
    <w:rsid w:val="00B829DC"/>
    <w:rsid w:val="00BA3A93"/>
    <w:rsid w:val="00BE0A26"/>
    <w:rsid w:val="00BE72E2"/>
    <w:rsid w:val="00C071E7"/>
    <w:rsid w:val="00C1431E"/>
    <w:rsid w:val="00C36F04"/>
    <w:rsid w:val="00C6587F"/>
    <w:rsid w:val="00C744CB"/>
    <w:rsid w:val="00C7746A"/>
    <w:rsid w:val="00C81D4D"/>
    <w:rsid w:val="00C929BA"/>
    <w:rsid w:val="00CC39D5"/>
    <w:rsid w:val="00CF2107"/>
    <w:rsid w:val="00CF6901"/>
    <w:rsid w:val="00D4415B"/>
    <w:rsid w:val="00D6706D"/>
    <w:rsid w:val="00D6708D"/>
    <w:rsid w:val="00D72AC8"/>
    <w:rsid w:val="00DA47AF"/>
    <w:rsid w:val="00DC0933"/>
    <w:rsid w:val="00DC2DDD"/>
    <w:rsid w:val="00DD251C"/>
    <w:rsid w:val="00E060C2"/>
    <w:rsid w:val="00E2213D"/>
    <w:rsid w:val="00E34AEB"/>
    <w:rsid w:val="00E36837"/>
    <w:rsid w:val="00E41F22"/>
    <w:rsid w:val="00E67EAA"/>
    <w:rsid w:val="00E75F8A"/>
    <w:rsid w:val="00E80796"/>
    <w:rsid w:val="00ED0BAB"/>
    <w:rsid w:val="00ED7065"/>
    <w:rsid w:val="00ED74F9"/>
    <w:rsid w:val="00EE7602"/>
    <w:rsid w:val="00EF408F"/>
    <w:rsid w:val="00EF43A8"/>
    <w:rsid w:val="00F029D9"/>
    <w:rsid w:val="00F02AD1"/>
    <w:rsid w:val="00F04B79"/>
    <w:rsid w:val="00F12271"/>
    <w:rsid w:val="00F12C9A"/>
    <w:rsid w:val="00F210E7"/>
    <w:rsid w:val="00F33BA0"/>
    <w:rsid w:val="00F36E2D"/>
    <w:rsid w:val="00F5157C"/>
    <w:rsid w:val="00F60A23"/>
    <w:rsid w:val="00F640D4"/>
    <w:rsid w:val="00F64EE5"/>
    <w:rsid w:val="00F733F3"/>
    <w:rsid w:val="00F746E3"/>
    <w:rsid w:val="00F851D3"/>
    <w:rsid w:val="00FA099A"/>
    <w:rsid w:val="00FC1D2B"/>
    <w:rsid w:val="00FC2CC0"/>
    <w:rsid w:val="00FD1F4A"/>
    <w:rsid w:val="00FE1001"/>
    <w:rsid w:val="00FE7AAE"/>
    <w:rsid w:val="00FE7BC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AD1"/>
    <w:pPr>
      <w:suppressAutoHyphens/>
      <w:spacing w:after="200" w:line="276" w:lineRule="auto"/>
    </w:pPr>
    <w:rPr>
      <w:rFonts w:ascii="Calibri" w:eastAsia="Calibri" w:hAnsi="Calibri" w:cs="Calibri"/>
      <w:sz w:val="22"/>
      <w:szCs w:val="22"/>
      <w:lang w:val="ro-RO" w:eastAsia="zh-CN"/>
    </w:rPr>
  </w:style>
  <w:style w:type="paragraph" w:styleId="Heading1">
    <w:name w:val="heading 1"/>
    <w:basedOn w:val="Normal"/>
    <w:next w:val="Normal"/>
    <w:qFormat/>
    <w:rsid w:val="00F02AD1"/>
    <w:pPr>
      <w:keepNext/>
      <w:tabs>
        <w:tab w:val="num" w:pos="0"/>
      </w:tabs>
      <w:spacing w:before="240" w:after="60" w:line="252" w:lineRule="auto"/>
      <w:outlineLvl w:val="0"/>
    </w:pPr>
    <w:rPr>
      <w:rFonts w:ascii="Calibri Light" w:eastAsia="Times New Roman" w:hAnsi="Calibri Light" w:cs="Calibri Light"/>
      <w:b/>
      <w:bCs/>
      <w:kern w:val="1"/>
      <w:sz w:val="32"/>
      <w:szCs w:val="32"/>
      <w:lang w:val="en-US"/>
    </w:rPr>
  </w:style>
  <w:style w:type="paragraph" w:styleId="Heading2">
    <w:name w:val="heading 2"/>
    <w:basedOn w:val="Heading"/>
    <w:next w:val="BodyText"/>
    <w:qFormat/>
    <w:rsid w:val="00F02AD1"/>
    <w:pPr>
      <w:tabs>
        <w:tab w:val="num" w:pos="0"/>
      </w:tabs>
      <w:spacing w:before="200"/>
      <w:ind w:left="576" w:hanging="576"/>
      <w:outlineLvl w:val="1"/>
    </w:pPr>
    <w:rPr>
      <w:rFonts w:ascii="Liberation Serif" w:eastAsia="Noto Sans CJK SC Regular" w:hAnsi="Liberation Serif" w:cs="FreeSan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02AD1"/>
  </w:style>
  <w:style w:type="character" w:customStyle="1" w:styleId="WW8Num1z1">
    <w:name w:val="WW8Num1z1"/>
    <w:rsid w:val="00F02AD1"/>
  </w:style>
  <w:style w:type="character" w:customStyle="1" w:styleId="WW8Num1z2">
    <w:name w:val="WW8Num1z2"/>
    <w:rsid w:val="00F02AD1"/>
  </w:style>
  <w:style w:type="character" w:customStyle="1" w:styleId="WW8Num1z3">
    <w:name w:val="WW8Num1z3"/>
    <w:rsid w:val="00F02AD1"/>
  </w:style>
  <w:style w:type="character" w:customStyle="1" w:styleId="WW8Num1z4">
    <w:name w:val="WW8Num1z4"/>
    <w:rsid w:val="00F02AD1"/>
  </w:style>
  <w:style w:type="character" w:customStyle="1" w:styleId="WW8Num1z5">
    <w:name w:val="WW8Num1z5"/>
    <w:rsid w:val="00F02AD1"/>
  </w:style>
  <w:style w:type="character" w:customStyle="1" w:styleId="WW8Num1z6">
    <w:name w:val="WW8Num1z6"/>
    <w:rsid w:val="00F02AD1"/>
  </w:style>
  <w:style w:type="character" w:customStyle="1" w:styleId="WW8Num1z7">
    <w:name w:val="WW8Num1z7"/>
    <w:rsid w:val="00F02AD1"/>
  </w:style>
  <w:style w:type="character" w:customStyle="1" w:styleId="WW8Num1z8">
    <w:name w:val="WW8Num1z8"/>
    <w:rsid w:val="00F02AD1"/>
  </w:style>
  <w:style w:type="character" w:customStyle="1" w:styleId="WW8Num2z0">
    <w:name w:val="WW8Num2z0"/>
    <w:rsid w:val="00F02AD1"/>
    <w:rPr>
      <w:rFonts w:ascii="Symbol" w:hAnsi="Symbol" w:cs="OpenSymbol"/>
      <w:sz w:val="18"/>
      <w:szCs w:val="18"/>
    </w:rPr>
  </w:style>
  <w:style w:type="character" w:customStyle="1" w:styleId="WW8Num2z1">
    <w:name w:val="WW8Num2z1"/>
    <w:rsid w:val="00F02AD1"/>
    <w:rPr>
      <w:rFonts w:ascii="OpenSymbol" w:hAnsi="OpenSymbol" w:cs="OpenSymbol"/>
    </w:rPr>
  </w:style>
  <w:style w:type="character" w:customStyle="1" w:styleId="WW8Num3z0">
    <w:name w:val="WW8Num3z0"/>
    <w:rsid w:val="00F02AD1"/>
    <w:rPr>
      <w:rFonts w:ascii="Symbol" w:hAnsi="Symbol" w:cs="Symbol" w:hint="default"/>
    </w:rPr>
  </w:style>
  <w:style w:type="character" w:customStyle="1" w:styleId="WW8Num3z1">
    <w:name w:val="WW8Num3z1"/>
    <w:rsid w:val="00F02AD1"/>
    <w:rPr>
      <w:rFonts w:ascii="Courier New" w:hAnsi="Courier New" w:cs="Courier New" w:hint="default"/>
    </w:rPr>
  </w:style>
  <w:style w:type="character" w:customStyle="1" w:styleId="WW8Num3z2">
    <w:name w:val="WW8Num3z2"/>
    <w:rsid w:val="00F02AD1"/>
    <w:rPr>
      <w:rFonts w:ascii="Wingdings" w:hAnsi="Wingdings" w:cs="Wingdings" w:hint="default"/>
    </w:rPr>
  </w:style>
  <w:style w:type="character" w:customStyle="1" w:styleId="WW8Num4z0">
    <w:name w:val="WW8Num4z0"/>
    <w:rsid w:val="00F02AD1"/>
    <w:rPr>
      <w:rFonts w:ascii="Symbol" w:hAnsi="Symbol" w:cs="OpenSymbol"/>
      <w:sz w:val="18"/>
      <w:szCs w:val="18"/>
    </w:rPr>
  </w:style>
  <w:style w:type="character" w:customStyle="1" w:styleId="WW8Num4z1">
    <w:name w:val="WW8Num4z1"/>
    <w:rsid w:val="00F02AD1"/>
    <w:rPr>
      <w:rFonts w:ascii="OpenSymbol" w:hAnsi="OpenSymbol" w:cs="OpenSymbol"/>
    </w:rPr>
  </w:style>
  <w:style w:type="character" w:customStyle="1" w:styleId="WW8Num5z0">
    <w:name w:val="WW8Num5z0"/>
    <w:rsid w:val="00F02AD1"/>
    <w:rPr>
      <w:rFonts w:ascii="Symbol" w:hAnsi="Symbol" w:cs="OpenSymbol"/>
      <w:sz w:val="18"/>
      <w:szCs w:val="18"/>
    </w:rPr>
  </w:style>
  <w:style w:type="character" w:customStyle="1" w:styleId="WW8Num5z1">
    <w:name w:val="WW8Num5z1"/>
    <w:rsid w:val="00F02AD1"/>
    <w:rPr>
      <w:rFonts w:ascii="OpenSymbol" w:hAnsi="OpenSymbol" w:cs="OpenSymbol"/>
    </w:rPr>
  </w:style>
  <w:style w:type="character" w:customStyle="1" w:styleId="WW8Num6z0">
    <w:name w:val="WW8Num6z0"/>
    <w:rsid w:val="00F02AD1"/>
    <w:rPr>
      <w:rFonts w:ascii="Symbol" w:hAnsi="Symbol" w:cs="Symbol"/>
    </w:rPr>
  </w:style>
  <w:style w:type="character" w:customStyle="1" w:styleId="WW-DefaultParagraphFont">
    <w:name w:val="WW-Default Paragraph Font"/>
    <w:rsid w:val="00F02AD1"/>
  </w:style>
  <w:style w:type="character" w:customStyle="1" w:styleId="WW-DefaultParagraphFont1">
    <w:name w:val="WW-Default Paragraph Font1"/>
    <w:rsid w:val="00F02AD1"/>
  </w:style>
  <w:style w:type="character" w:customStyle="1" w:styleId="WW8Num6z1">
    <w:name w:val="WW8Num6z1"/>
    <w:rsid w:val="00F02AD1"/>
    <w:rPr>
      <w:rFonts w:ascii="OpenSymbol" w:hAnsi="OpenSymbol" w:cs="OpenSymbol"/>
    </w:rPr>
  </w:style>
  <w:style w:type="character" w:customStyle="1" w:styleId="WW8Num5z2">
    <w:name w:val="WW8Num5z2"/>
    <w:rsid w:val="00F02AD1"/>
    <w:rPr>
      <w:rFonts w:ascii="Wingdings" w:hAnsi="Wingdings" w:cs="Wingdings" w:hint="default"/>
    </w:rPr>
  </w:style>
  <w:style w:type="character" w:customStyle="1" w:styleId="WW8Num6z2">
    <w:name w:val="WW8Num6z2"/>
    <w:rsid w:val="00F02AD1"/>
    <w:rPr>
      <w:rFonts w:ascii="Wingdings" w:hAnsi="Wingdings" w:cs="Wingdings" w:hint="default"/>
    </w:rPr>
  </w:style>
  <w:style w:type="character" w:customStyle="1" w:styleId="WW8Num7z0">
    <w:name w:val="WW8Num7z0"/>
    <w:rsid w:val="00F02AD1"/>
    <w:rPr>
      <w:rFonts w:ascii="Symbol" w:hAnsi="Symbol" w:cs="Symbol" w:hint="default"/>
    </w:rPr>
  </w:style>
  <w:style w:type="character" w:customStyle="1" w:styleId="WW8Num7z1">
    <w:name w:val="WW8Num7z1"/>
    <w:rsid w:val="00F02AD1"/>
    <w:rPr>
      <w:rFonts w:ascii="Courier New" w:hAnsi="Courier New" w:cs="Courier New" w:hint="default"/>
    </w:rPr>
  </w:style>
  <w:style w:type="character" w:customStyle="1" w:styleId="WW8Num7z2">
    <w:name w:val="WW8Num7z2"/>
    <w:rsid w:val="00F02AD1"/>
    <w:rPr>
      <w:rFonts w:ascii="Wingdings" w:hAnsi="Wingdings" w:cs="Wingdings" w:hint="default"/>
    </w:rPr>
  </w:style>
  <w:style w:type="character" w:customStyle="1" w:styleId="WW8Num8z0">
    <w:name w:val="WW8Num8z0"/>
    <w:rsid w:val="00F02AD1"/>
    <w:rPr>
      <w:rFonts w:ascii="Symbol" w:hAnsi="Symbol" w:cs="Symbol" w:hint="default"/>
    </w:rPr>
  </w:style>
  <w:style w:type="character" w:customStyle="1" w:styleId="WW8Num8z1">
    <w:name w:val="WW8Num8z1"/>
    <w:rsid w:val="00F02AD1"/>
    <w:rPr>
      <w:rFonts w:ascii="Courier New" w:hAnsi="Courier New" w:cs="Courier New" w:hint="default"/>
    </w:rPr>
  </w:style>
  <w:style w:type="character" w:customStyle="1" w:styleId="WW8Num8z2">
    <w:name w:val="WW8Num8z2"/>
    <w:rsid w:val="00F02AD1"/>
    <w:rPr>
      <w:rFonts w:ascii="Wingdings" w:hAnsi="Wingdings" w:cs="Wingdings" w:hint="default"/>
    </w:rPr>
  </w:style>
  <w:style w:type="character" w:customStyle="1" w:styleId="WW8Num9z0">
    <w:name w:val="WW8Num9z0"/>
    <w:rsid w:val="00F02AD1"/>
    <w:rPr>
      <w:rFonts w:ascii="Symbol" w:hAnsi="Symbol" w:cs="Symbol" w:hint="default"/>
    </w:rPr>
  </w:style>
  <w:style w:type="character" w:customStyle="1" w:styleId="WW8Num9z1">
    <w:name w:val="WW8Num9z1"/>
    <w:rsid w:val="00F02AD1"/>
    <w:rPr>
      <w:rFonts w:ascii="Courier New" w:hAnsi="Courier New" w:cs="Courier New" w:hint="default"/>
    </w:rPr>
  </w:style>
  <w:style w:type="character" w:customStyle="1" w:styleId="WW8Num9z2">
    <w:name w:val="WW8Num9z2"/>
    <w:rsid w:val="00F02AD1"/>
    <w:rPr>
      <w:rFonts w:ascii="Wingdings" w:hAnsi="Wingdings" w:cs="Wingdings" w:hint="default"/>
    </w:rPr>
  </w:style>
  <w:style w:type="character" w:customStyle="1" w:styleId="WW8Num10z0">
    <w:name w:val="WW8Num10z0"/>
    <w:rsid w:val="00F02AD1"/>
    <w:rPr>
      <w:rFonts w:ascii="Symbol" w:hAnsi="Symbol" w:cs="Symbol" w:hint="default"/>
    </w:rPr>
  </w:style>
  <w:style w:type="character" w:customStyle="1" w:styleId="WW8Num10z1">
    <w:name w:val="WW8Num10z1"/>
    <w:rsid w:val="00F02AD1"/>
    <w:rPr>
      <w:rFonts w:ascii="Courier New" w:hAnsi="Courier New" w:cs="Courier New" w:hint="default"/>
    </w:rPr>
  </w:style>
  <w:style w:type="character" w:customStyle="1" w:styleId="WW8Num10z2">
    <w:name w:val="WW8Num10z2"/>
    <w:rsid w:val="00F02AD1"/>
    <w:rPr>
      <w:rFonts w:ascii="Wingdings" w:hAnsi="Wingdings" w:cs="Wingdings" w:hint="default"/>
    </w:rPr>
  </w:style>
  <w:style w:type="character" w:customStyle="1" w:styleId="WW8Num11z0">
    <w:name w:val="WW8Num11z0"/>
    <w:rsid w:val="00F02AD1"/>
    <w:rPr>
      <w:rFonts w:ascii="Symbol" w:hAnsi="Symbol" w:cs="Symbol" w:hint="default"/>
    </w:rPr>
  </w:style>
  <w:style w:type="character" w:customStyle="1" w:styleId="WW8Num11z1">
    <w:name w:val="WW8Num11z1"/>
    <w:rsid w:val="00F02AD1"/>
    <w:rPr>
      <w:rFonts w:ascii="Courier New" w:hAnsi="Courier New" w:cs="Courier New" w:hint="default"/>
    </w:rPr>
  </w:style>
  <w:style w:type="character" w:customStyle="1" w:styleId="WW8Num11z2">
    <w:name w:val="WW8Num11z2"/>
    <w:rsid w:val="00F02AD1"/>
    <w:rPr>
      <w:rFonts w:ascii="Wingdings" w:hAnsi="Wingdings" w:cs="Wingdings" w:hint="default"/>
    </w:rPr>
  </w:style>
  <w:style w:type="character" w:customStyle="1" w:styleId="WW-DefaultParagraphFont11">
    <w:name w:val="WW-Default Paragraph Font11"/>
    <w:rsid w:val="00F02AD1"/>
  </w:style>
  <w:style w:type="character" w:customStyle="1" w:styleId="WW8Num2z2">
    <w:name w:val="WW8Num2z2"/>
    <w:rsid w:val="00F02AD1"/>
    <w:rPr>
      <w:rFonts w:ascii="Wingdings" w:hAnsi="Wingdings" w:cs="Wingdings" w:hint="default"/>
    </w:rPr>
  </w:style>
  <w:style w:type="character" w:customStyle="1" w:styleId="WW8Num3z3">
    <w:name w:val="WW8Num3z3"/>
    <w:rsid w:val="00F02AD1"/>
  </w:style>
  <w:style w:type="character" w:customStyle="1" w:styleId="WW8Num3z4">
    <w:name w:val="WW8Num3z4"/>
    <w:rsid w:val="00F02AD1"/>
  </w:style>
  <w:style w:type="character" w:customStyle="1" w:styleId="WW8Num3z5">
    <w:name w:val="WW8Num3z5"/>
    <w:rsid w:val="00F02AD1"/>
  </w:style>
  <w:style w:type="character" w:customStyle="1" w:styleId="WW8Num3z6">
    <w:name w:val="WW8Num3z6"/>
    <w:rsid w:val="00F02AD1"/>
  </w:style>
  <w:style w:type="character" w:customStyle="1" w:styleId="WW8Num3z7">
    <w:name w:val="WW8Num3z7"/>
    <w:rsid w:val="00F02AD1"/>
  </w:style>
  <w:style w:type="character" w:customStyle="1" w:styleId="WW8Num3z8">
    <w:name w:val="WW8Num3z8"/>
    <w:rsid w:val="00F02AD1"/>
  </w:style>
  <w:style w:type="character" w:customStyle="1" w:styleId="WW8Num4z2">
    <w:name w:val="WW8Num4z2"/>
    <w:rsid w:val="00F02AD1"/>
    <w:rPr>
      <w:rFonts w:ascii="Wingdings" w:hAnsi="Wingdings" w:cs="Wingdings" w:hint="default"/>
    </w:rPr>
  </w:style>
  <w:style w:type="character" w:customStyle="1" w:styleId="WW8Num8z3">
    <w:name w:val="WW8Num8z3"/>
    <w:rsid w:val="00F02AD1"/>
  </w:style>
  <w:style w:type="character" w:customStyle="1" w:styleId="WW8Num8z4">
    <w:name w:val="WW8Num8z4"/>
    <w:rsid w:val="00F02AD1"/>
  </w:style>
  <w:style w:type="character" w:customStyle="1" w:styleId="WW8Num8z5">
    <w:name w:val="WW8Num8z5"/>
    <w:rsid w:val="00F02AD1"/>
  </w:style>
  <w:style w:type="character" w:customStyle="1" w:styleId="WW8Num8z6">
    <w:name w:val="WW8Num8z6"/>
    <w:rsid w:val="00F02AD1"/>
  </w:style>
  <w:style w:type="character" w:customStyle="1" w:styleId="WW8Num8z7">
    <w:name w:val="WW8Num8z7"/>
    <w:rsid w:val="00F02AD1"/>
  </w:style>
  <w:style w:type="character" w:customStyle="1" w:styleId="WW8Num8z8">
    <w:name w:val="WW8Num8z8"/>
    <w:rsid w:val="00F02AD1"/>
  </w:style>
  <w:style w:type="character" w:customStyle="1" w:styleId="WW8Num9z3">
    <w:name w:val="WW8Num9z3"/>
    <w:rsid w:val="00F02AD1"/>
    <w:rPr>
      <w:rFonts w:ascii="Symbol" w:hAnsi="Symbol" w:cs="Symbol" w:hint="default"/>
    </w:rPr>
  </w:style>
  <w:style w:type="character" w:customStyle="1" w:styleId="WW8Num10z3">
    <w:name w:val="WW8Num10z3"/>
    <w:rsid w:val="00F02AD1"/>
  </w:style>
  <w:style w:type="character" w:customStyle="1" w:styleId="WW8Num10z4">
    <w:name w:val="WW8Num10z4"/>
    <w:rsid w:val="00F02AD1"/>
  </w:style>
  <w:style w:type="character" w:customStyle="1" w:styleId="WW8Num10z5">
    <w:name w:val="WW8Num10z5"/>
    <w:rsid w:val="00F02AD1"/>
  </w:style>
  <w:style w:type="character" w:customStyle="1" w:styleId="WW8Num10z6">
    <w:name w:val="WW8Num10z6"/>
    <w:rsid w:val="00F02AD1"/>
  </w:style>
  <w:style w:type="character" w:customStyle="1" w:styleId="WW8Num10z7">
    <w:name w:val="WW8Num10z7"/>
    <w:rsid w:val="00F02AD1"/>
  </w:style>
  <w:style w:type="character" w:customStyle="1" w:styleId="WW8Num10z8">
    <w:name w:val="WW8Num10z8"/>
    <w:rsid w:val="00F02AD1"/>
  </w:style>
  <w:style w:type="character" w:customStyle="1" w:styleId="WW8Num12z0">
    <w:name w:val="WW8Num12z0"/>
    <w:rsid w:val="00F02AD1"/>
    <w:rPr>
      <w:rFonts w:ascii="Symbol" w:hAnsi="Symbol" w:cs="Symbol" w:hint="default"/>
    </w:rPr>
  </w:style>
  <w:style w:type="character" w:customStyle="1" w:styleId="WW8Num12z1">
    <w:name w:val="WW8Num12z1"/>
    <w:rsid w:val="00F02AD1"/>
    <w:rPr>
      <w:rFonts w:ascii="Courier New" w:hAnsi="Courier New" w:cs="Courier New" w:hint="default"/>
    </w:rPr>
  </w:style>
  <w:style w:type="character" w:customStyle="1" w:styleId="WW8Num12z2">
    <w:name w:val="WW8Num12z2"/>
    <w:rsid w:val="00F02AD1"/>
    <w:rPr>
      <w:rFonts w:ascii="Wingdings" w:hAnsi="Wingdings" w:cs="Wingdings" w:hint="default"/>
    </w:rPr>
  </w:style>
  <w:style w:type="character" w:customStyle="1" w:styleId="WW8Num13z0">
    <w:name w:val="WW8Num13z0"/>
    <w:rsid w:val="00F02AD1"/>
    <w:rPr>
      <w:rFonts w:ascii="Trebuchet MS" w:eastAsia="Times New Roman" w:hAnsi="Trebuchet MS" w:cs="Times New Roman" w:hint="default"/>
    </w:rPr>
  </w:style>
  <w:style w:type="character" w:customStyle="1" w:styleId="WW8Num13z1">
    <w:name w:val="WW8Num13z1"/>
    <w:rsid w:val="00F02AD1"/>
    <w:rPr>
      <w:rFonts w:ascii="Courier New" w:hAnsi="Courier New" w:cs="Courier New" w:hint="default"/>
    </w:rPr>
  </w:style>
  <w:style w:type="character" w:customStyle="1" w:styleId="WW8Num13z2">
    <w:name w:val="WW8Num13z2"/>
    <w:rsid w:val="00F02AD1"/>
    <w:rPr>
      <w:rFonts w:ascii="Wingdings" w:hAnsi="Wingdings" w:cs="Wingdings" w:hint="default"/>
    </w:rPr>
  </w:style>
  <w:style w:type="character" w:customStyle="1" w:styleId="WW8Num13z3">
    <w:name w:val="WW8Num13z3"/>
    <w:rsid w:val="00F02AD1"/>
    <w:rPr>
      <w:rFonts w:ascii="Symbol" w:hAnsi="Symbol" w:cs="Symbol" w:hint="default"/>
    </w:rPr>
  </w:style>
  <w:style w:type="character" w:customStyle="1" w:styleId="WW-DefaultParagraphFont111">
    <w:name w:val="WW-Default Paragraph Font111"/>
    <w:rsid w:val="00F02AD1"/>
  </w:style>
  <w:style w:type="character" w:customStyle="1" w:styleId="BalloonTextChar">
    <w:name w:val="Balloon Text Char"/>
    <w:rsid w:val="00F02AD1"/>
    <w:rPr>
      <w:rFonts w:ascii="Tahoma" w:hAnsi="Tahoma" w:cs="Tahoma"/>
      <w:sz w:val="16"/>
      <w:szCs w:val="16"/>
    </w:rPr>
  </w:style>
  <w:style w:type="character" w:customStyle="1" w:styleId="HeaderChar">
    <w:name w:val="Header Char"/>
    <w:basedOn w:val="WW-DefaultParagraphFont111"/>
    <w:rsid w:val="00F02AD1"/>
  </w:style>
  <w:style w:type="character" w:customStyle="1" w:styleId="FooterChar">
    <w:name w:val="Footer Char"/>
    <w:basedOn w:val="WW-DefaultParagraphFont111"/>
    <w:rsid w:val="00F02AD1"/>
  </w:style>
  <w:style w:type="character" w:styleId="Hyperlink">
    <w:name w:val="Hyperlink"/>
    <w:rsid w:val="00F02AD1"/>
    <w:rPr>
      <w:color w:val="0000FF"/>
      <w:u w:val="single"/>
    </w:rPr>
  </w:style>
  <w:style w:type="character" w:customStyle="1" w:styleId="Heading1Char">
    <w:name w:val="Heading 1 Char"/>
    <w:rsid w:val="00F02AD1"/>
    <w:rPr>
      <w:rFonts w:ascii="Calibri Light" w:eastAsia="Times New Roman" w:hAnsi="Calibri Light" w:cs="Times New Roman"/>
      <w:b/>
      <w:bCs/>
      <w:kern w:val="1"/>
      <w:sz w:val="32"/>
      <w:szCs w:val="32"/>
      <w:lang w:val="en-US"/>
    </w:rPr>
  </w:style>
  <w:style w:type="character" w:styleId="FollowedHyperlink">
    <w:name w:val="FollowedHyperlink"/>
    <w:rsid w:val="00F02AD1"/>
    <w:rPr>
      <w:color w:val="800080"/>
      <w:u w:val="single"/>
    </w:rPr>
  </w:style>
  <w:style w:type="character" w:customStyle="1" w:styleId="Bullets">
    <w:name w:val="Bullets"/>
    <w:rsid w:val="00F02AD1"/>
    <w:rPr>
      <w:rFonts w:ascii="OpenSymbol" w:eastAsia="OpenSymbol" w:hAnsi="OpenSymbol" w:cs="OpenSymbol"/>
    </w:rPr>
  </w:style>
  <w:style w:type="character" w:styleId="Strong">
    <w:name w:val="Strong"/>
    <w:qFormat/>
    <w:rsid w:val="00F02AD1"/>
    <w:rPr>
      <w:b/>
      <w:bCs/>
    </w:rPr>
  </w:style>
  <w:style w:type="paragraph" w:customStyle="1" w:styleId="Heading">
    <w:name w:val="Heading"/>
    <w:basedOn w:val="Normal"/>
    <w:next w:val="BodyText"/>
    <w:rsid w:val="00F02AD1"/>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F02AD1"/>
    <w:pPr>
      <w:spacing w:after="140"/>
    </w:pPr>
  </w:style>
  <w:style w:type="paragraph" w:styleId="List">
    <w:name w:val="List"/>
    <w:basedOn w:val="BodyText"/>
    <w:rsid w:val="00F02AD1"/>
    <w:rPr>
      <w:rFonts w:cs="Lohit Devanagari"/>
    </w:rPr>
  </w:style>
  <w:style w:type="paragraph" w:styleId="Caption">
    <w:name w:val="caption"/>
    <w:basedOn w:val="Normal"/>
    <w:qFormat/>
    <w:rsid w:val="00F02AD1"/>
    <w:pPr>
      <w:suppressLineNumbers/>
      <w:spacing w:before="120" w:after="120"/>
    </w:pPr>
    <w:rPr>
      <w:rFonts w:cs="Lohit Devanagari"/>
      <w:i/>
      <w:iCs/>
      <w:sz w:val="24"/>
      <w:szCs w:val="24"/>
    </w:rPr>
  </w:style>
  <w:style w:type="paragraph" w:customStyle="1" w:styleId="Index">
    <w:name w:val="Index"/>
    <w:basedOn w:val="Normal"/>
    <w:rsid w:val="00F02AD1"/>
    <w:pPr>
      <w:suppressLineNumbers/>
    </w:pPr>
    <w:rPr>
      <w:rFonts w:cs="Lohit Devanagari"/>
    </w:rPr>
  </w:style>
  <w:style w:type="paragraph" w:styleId="BalloonText">
    <w:name w:val="Balloon Text"/>
    <w:basedOn w:val="Normal"/>
    <w:rsid w:val="00F02AD1"/>
    <w:pPr>
      <w:spacing w:after="0" w:line="240" w:lineRule="auto"/>
    </w:pPr>
    <w:rPr>
      <w:rFonts w:ascii="Tahoma" w:hAnsi="Tahoma" w:cs="Tahoma"/>
      <w:sz w:val="16"/>
      <w:szCs w:val="16"/>
    </w:rPr>
  </w:style>
  <w:style w:type="paragraph" w:styleId="Header">
    <w:name w:val="header"/>
    <w:basedOn w:val="Normal"/>
    <w:rsid w:val="00F02AD1"/>
    <w:pPr>
      <w:spacing w:after="0" w:line="240" w:lineRule="auto"/>
    </w:pPr>
  </w:style>
  <w:style w:type="paragraph" w:styleId="Footer">
    <w:name w:val="footer"/>
    <w:basedOn w:val="Normal"/>
    <w:rsid w:val="00F02AD1"/>
    <w:pPr>
      <w:spacing w:after="0" w:line="240" w:lineRule="auto"/>
    </w:pPr>
  </w:style>
  <w:style w:type="paragraph" w:styleId="ListParagraph">
    <w:name w:val="List Paragraph"/>
    <w:basedOn w:val="Normal"/>
    <w:qFormat/>
    <w:rsid w:val="00F02AD1"/>
    <w:pPr>
      <w:ind w:left="720"/>
      <w:contextualSpacing/>
    </w:pPr>
  </w:style>
  <w:style w:type="paragraph" w:customStyle="1" w:styleId="TableContents">
    <w:name w:val="Table Contents"/>
    <w:basedOn w:val="Normal"/>
    <w:rsid w:val="00F02AD1"/>
    <w:pPr>
      <w:suppressLineNumbers/>
    </w:pPr>
  </w:style>
  <w:style w:type="paragraph" w:customStyle="1" w:styleId="TableHeading">
    <w:name w:val="Table Heading"/>
    <w:basedOn w:val="TableContents"/>
    <w:rsid w:val="00F02AD1"/>
    <w:pPr>
      <w:jc w:val="center"/>
    </w:pPr>
    <w:rPr>
      <w:b/>
      <w:bCs/>
    </w:rPr>
  </w:style>
</w:styles>
</file>

<file path=word/webSettings.xml><?xml version="1.0" encoding="utf-8"?>
<w:webSettings xmlns:r="http://schemas.openxmlformats.org/officeDocument/2006/relationships" xmlns:w="http://schemas.openxmlformats.org/wordprocessingml/2006/main">
  <w:divs>
    <w:div w:id="263076228">
      <w:bodyDiv w:val="1"/>
      <w:marLeft w:val="0"/>
      <w:marRight w:val="0"/>
      <w:marTop w:val="0"/>
      <w:marBottom w:val="0"/>
      <w:divBdr>
        <w:top w:val="none" w:sz="0" w:space="0" w:color="auto"/>
        <w:left w:val="none" w:sz="0" w:space="0" w:color="auto"/>
        <w:bottom w:val="none" w:sz="0" w:space="0" w:color="auto"/>
        <w:right w:val="none" w:sz="0" w:space="0" w:color="auto"/>
      </w:divBdr>
    </w:div>
    <w:div w:id="667254109">
      <w:bodyDiv w:val="1"/>
      <w:marLeft w:val="0"/>
      <w:marRight w:val="0"/>
      <w:marTop w:val="0"/>
      <w:marBottom w:val="0"/>
      <w:divBdr>
        <w:top w:val="none" w:sz="0" w:space="0" w:color="auto"/>
        <w:left w:val="none" w:sz="0" w:space="0" w:color="auto"/>
        <w:bottom w:val="none" w:sz="0" w:space="0" w:color="auto"/>
        <w:right w:val="none" w:sz="0" w:space="0" w:color="auto"/>
      </w:divBdr>
    </w:div>
    <w:div w:id="891236059">
      <w:bodyDiv w:val="1"/>
      <w:marLeft w:val="0"/>
      <w:marRight w:val="0"/>
      <w:marTop w:val="0"/>
      <w:marBottom w:val="0"/>
      <w:divBdr>
        <w:top w:val="none" w:sz="0" w:space="0" w:color="auto"/>
        <w:left w:val="none" w:sz="0" w:space="0" w:color="auto"/>
        <w:bottom w:val="none" w:sz="0" w:space="0" w:color="auto"/>
        <w:right w:val="none" w:sz="0" w:space="0" w:color="auto"/>
      </w:divBdr>
    </w:div>
    <w:div w:id="1052728521">
      <w:bodyDiv w:val="1"/>
      <w:marLeft w:val="0"/>
      <w:marRight w:val="0"/>
      <w:marTop w:val="0"/>
      <w:marBottom w:val="0"/>
      <w:divBdr>
        <w:top w:val="none" w:sz="0" w:space="0" w:color="auto"/>
        <w:left w:val="none" w:sz="0" w:space="0" w:color="auto"/>
        <w:bottom w:val="none" w:sz="0" w:space="0" w:color="auto"/>
        <w:right w:val="none" w:sz="0" w:space="0" w:color="auto"/>
      </w:divBdr>
    </w:div>
    <w:div w:id="1333723450">
      <w:bodyDiv w:val="1"/>
      <w:marLeft w:val="0"/>
      <w:marRight w:val="0"/>
      <w:marTop w:val="0"/>
      <w:marBottom w:val="0"/>
      <w:divBdr>
        <w:top w:val="none" w:sz="0" w:space="0" w:color="auto"/>
        <w:left w:val="none" w:sz="0" w:space="0" w:color="auto"/>
        <w:bottom w:val="none" w:sz="0" w:space="0" w:color="auto"/>
        <w:right w:val="none" w:sz="0" w:space="0" w:color="auto"/>
      </w:divBdr>
    </w:div>
    <w:div w:id="1395004245">
      <w:bodyDiv w:val="1"/>
      <w:marLeft w:val="0"/>
      <w:marRight w:val="0"/>
      <w:marTop w:val="0"/>
      <w:marBottom w:val="0"/>
      <w:divBdr>
        <w:top w:val="none" w:sz="0" w:space="0" w:color="auto"/>
        <w:left w:val="none" w:sz="0" w:space="0" w:color="auto"/>
        <w:bottom w:val="none" w:sz="0" w:space="0" w:color="auto"/>
        <w:right w:val="none" w:sz="0" w:space="0" w:color="auto"/>
      </w:divBdr>
    </w:div>
    <w:div w:id="1652170598">
      <w:bodyDiv w:val="1"/>
      <w:marLeft w:val="0"/>
      <w:marRight w:val="0"/>
      <w:marTop w:val="0"/>
      <w:marBottom w:val="0"/>
      <w:divBdr>
        <w:top w:val="none" w:sz="0" w:space="0" w:color="auto"/>
        <w:left w:val="none" w:sz="0" w:space="0" w:color="auto"/>
        <w:bottom w:val="none" w:sz="0" w:space="0" w:color="auto"/>
        <w:right w:val="none" w:sz="0" w:space="0" w:color="auto"/>
      </w:divBdr>
    </w:div>
    <w:div w:id="17173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nduri-structurale.ro/finantari/129/cresterea-eficientei-energetice-in-regiune-ca-parte-a-investitiilor-in-sectorul-locuintelor#" TargetMode="External"/><Relationship Id="rId13" Type="http://schemas.openxmlformats.org/officeDocument/2006/relationships/hyperlink" Target="https://www.fonduri-structurale.ro/alte-finantari/867/programul-rabla-plus-202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onduri-structurale.ro/alte-finantari/866/programul-rabla-clasic-2024" TargetMode="External"/><Relationship Id="rId17" Type="http://schemas.openxmlformats.org/officeDocument/2006/relationships/hyperlink" Target="https://www.fonduri-structurale.ro/finantari/871/investitii-in-infrastructura-publica-a-ambulatoriilor-unitatilor-sanitare-structurilor-sanitare-publice-dotare" TargetMode="External"/><Relationship Id="rId2" Type="http://schemas.openxmlformats.org/officeDocument/2006/relationships/numbering" Target="numbering.xml"/><Relationship Id="rId16" Type="http://schemas.openxmlformats.org/officeDocument/2006/relationships/hyperlink" Target="https://www.fonduri-structurale.ro/finantari/886/investitii-pentru-cabinete-de-asistenta-medicala-stomatologica-care-furnizeaza-servicii-copiilor-in-ambulatoriile-integrate-spitalelor-de-pediatrie-sau-ambulatoriile-spitalelor-publice-care-au-sectii-de-pediatri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uri-structurale.ro/finantari/170/finantare-pentru-solutii-de-crestere-a-sigurantei-traficului-si-investitii-in-siguranta-infrastructurii-rutiere" TargetMode="External"/><Relationship Id="rId5" Type="http://schemas.openxmlformats.org/officeDocument/2006/relationships/webSettings" Target="webSettings.xml"/><Relationship Id="rId15" Type="http://schemas.openxmlformats.org/officeDocument/2006/relationships/hyperlink" Target="https://fonduri-structurale.ro/finantari/734/diversificarea-si-flexibilizarea-serviciilor-de-educatie-timpurie" TargetMode="External"/><Relationship Id="rId23" Type="http://schemas.openxmlformats.org/officeDocument/2006/relationships/theme" Target="theme/theme1.xml"/><Relationship Id="rId10" Type="http://schemas.openxmlformats.org/officeDocument/2006/relationships/hyperlink" Target="https://www.fonduri-structurale.ro/finantari/643/imbunatatirea-infrastructurii-de-turism-in-special-in-zone-care-dispun-de-un-potential-turistic-valoros-inclusiv-imbunatatirea-accesului-catre-resursele-si-obiectivele-turistice-urba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onduri-structurale.ro/finantari/644/imbunatatirea-infrastructurii-de-turism-in-special-in-zone-care-dispun-de-un-potential-turistic-valoros-inclusiv-imbunatatirea-accesului-catre-resursele-si-obiectivele-turistice-rural" TargetMode="External"/><Relationship Id="rId14" Type="http://schemas.openxmlformats.org/officeDocument/2006/relationships/hyperlink" Target="https://www.fonduri-structurale.ro/finantari/734/diversificarea-si-flexibilizarea-serviciilor-de-educatie-timpuri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90D9B-7EA9-47B9-AA3B-C79B9193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4641</Words>
  <Characters>26458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31037</CharactersWithSpaces>
  <SharedDoc>false</SharedDoc>
  <HLinks>
    <vt:vector size="12" baseType="variant">
      <vt:variant>
        <vt:i4>1179679</vt:i4>
      </vt:variant>
      <vt:variant>
        <vt:i4>3</vt:i4>
      </vt:variant>
      <vt:variant>
        <vt:i4>0</vt:i4>
      </vt:variant>
      <vt:variant>
        <vt:i4>5</vt:i4>
      </vt:variant>
      <vt:variant>
        <vt:lpwstr>https://interreg-rohu.eu/wp-content/uploads/2023/06/Applicants_Guide_package.zip</vt:lpwstr>
      </vt:variant>
      <vt:variant>
        <vt:lpwstr/>
      </vt:variant>
      <vt:variant>
        <vt:i4>6684770</vt:i4>
      </vt:variant>
      <vt:variant>
        <vt:i4>0</vt:i4>
      </vt:variant>
      <vt:variant>
        <vt:i4>0</vt:i4>
      </vt:variant>
      <vt:variant>
        <vt:i4>5</vt:i4>
      </vt:variant>
      <vt:variant>
        <vt:lpwstr>https://jems-rohu.mdlpa.ro/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Paul</cp:lastModifiedBy>
  <cp:revision>4</cp:revision>
  <cp:lastPrinted>1601-01-01T00:00:00Z</cp:lastPrinted>
  <dcterms:created xsi:type="dcterms:W3CDTF">2024-07-31T09:09:00Z</dcterms:created>
  <dcterms:modified xsi:type="dcterms:W3CDTF">2024-07-31T12:56:00Z</dcterms:modified>
</cp:coreProperties>
</file>