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F029D9" w:rsidP="00F029D9">
      <w:pPr>
        <w:spacing w:after="0" w:line="240" w:lineRule="auto"/>
        <w:jc w:val="center"/>
      </w:pPr>
      <w:r>
        <w:rPr>
          <w:rFonts w:ascii="Times New Roman" w:hAnsi="Times New Roman" w:cs="Times New Roman"/>
          <w:b/>
          <w:sz w:val="28"/>
          <w:szCs w:val="28"/>
        </w:rPr>
        <w:t>S</w:t>
      </w:r>
      <w:r w:rsidR="005F5F6C">
        <w:rPr>
          <w:rFonts w:ascii="Times New Roman" w:hAnsi="Times New Roman" w:cs="Times New Roman"/>
          <w:b/>
          <w:sz w:val="28"/>
          <w:szCs w:val="28"/>
        </w:rPr>
        <w:t>EP</w:t>
      </w:r>
      <w:r>
        <w:rPr>
          <w:rFonts w:ascii="Times New Roman" w:hAnsi="Times New Roman" w:cs="Times New Roman"/>
          <w:b/>
          <w:sz w:val="28"/>
          <w:szCs w:val="28"/>
        </w:rPr>
        <w:t>T</w:t>
      </w:r>
      <w:r w:rsidR="005F5F6C">
        <w:rPr>
          <w:rFonts w:ascii="Times New Roman" w:hAnsi="Times New Roman" w:cs="Times New Roman"/>
          <w:b/>
          <w:sz w:val="28"/>
          <w:szCs w:val="28"/>
        </w:rPr>
        <w:t>EMBRIE</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B64861" w:rsidRDefault="00B64861" w:rsidP="00B64861">
            <w:pPr>
              <w:autoSpaceDE w:val="0"/>
              <w:spacing w:after="0" w:line="240" w:lineRule="auto"/>
            </w:pPr>
            <w:r>
              <w:rPr>
                <w:rFonts w:ascii="Times New Roman" w:hAnsi="Times New Roman" w:cs="Times New Roman"/>
                <w:b/>
                <w:sz w:val="18"/>
                <w:szCs w:val="18"/>
              </w:rPr>
              <w:t>Guvernul</w:t>
            </w:r>
          </w:p>
          <w:p w:rsidR="00B64861" w:rsidRDefault="00B64861" w:rsidP="00B6486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64861" w:rsidRDefault="00B64861" w:rsidP="00B64861">
            <w:pPr>
              <w:autoSpaceDE w:val="0"/>
              <w:spacing w:after="0" w:line="240" w:lineRule="auto"/>
              <w:rPr>
                <w:rFonts w:ascii="Times New Roman" w:hAnsi="Times New Roman" w:cs="Times New Roman"/>
                <w:b/>
                <w:sz w:val="18"/>
                <w:szCs w:val="18"/>
              </w:rPr>
            </w:pPr>
          </w:p>
          <w:p w:rsidR="00B64861" w:rsidRDefault="00B64861" w:rsidP="00B64861">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B64861" w:rsidRPr="00907114" w:rsidRDefault="00B64861" w:rsidP="00B64861">
            <w:pPr>
              <w:autoSpaceDE w:val="0"/>
              <w:spacing w:after="0" w:line="240" w:lineRule="auto"/>
              <w:rPr>
                <w:rFonts w:ascii="Times New Roman" w:hAnsi="Times New Roman" w:cs="Times New Roman"/>
                <w:b/>
                <w:sz w:val="18"/>
                <w:szCs w:val="18"/>
              </w:rPr>
            </w:pPr>
          </w:p>
          <w:p w:rsidR="000E3C01" w:rsidRDefault="000E3C01" w:rsidP="00B64861">
            <w:pPr>
              <w:autoSpaceDE w:val="0"/>
              <w:spacing w:after="0" w:line="240" w:lineRule="auto"/>
              <w:rPr>
                <w:rFonts w:ascii="Times New Roman" w:hAnsi="Times New Roman" w:cs="Times New Roman"/>
                <w:b/>
                <w:sz w:val="18"/>
                <w:szCs w:val="18"/>
              </w:rPr>
            </w:pPr>
            <w:r w:rsidRPr="000E3C01">
              <w:rPr>
                <w:rFonts w:ascii="Times New Roman" w:hAnsi="Times New Roman" w:cs="Times New Roman"/>
                <w:b/>
                <w:sz w:val="18"/>
                <w:szCs w:val="18"/>
              </w:rPr>
              <w:t>Creșterea eficienței energetice în regiune ca parte a investițiilor în sectorul locuințelor</w:t>
            </w:r>
            <w:r>
              <w:rPr>
                <w:rFonts w:ascii="Times New Roman" w:hAnsi="Times New Roman" w:cs="Times New Roman"/>
                <w:b/>
                <w:sz w:val="18"/>
                <w:szCs w:val="18"/>
              </w:rPr>
              <w:t xml:space="preserve"> </w:t>
            </w:r>
          </w:p>
          <w:p w:rsidR="00C81D4D" w:rsidRPr="001751C1" w:rsidRDefault="00B64861" w:rsidP="000E3C01">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w:t>
            </w:r>
            <w:r w:rsidR="000E3C01">
              <w:rPr>
                <w:rFonts w:ascii="Times New Roman" w:hAnsi="Times New Roman" w:cs="Times New Roman"/>
                <w:b/>
                <w:sz w:val="18"/>
                <w:szCs w:val="18"/>
              </w:rPr>
              <w:t>1.</w:t>
            </w:r>
            <w:r w:rsidRPr="00203D96">
              <w:rPr>
                <w:rFonts w:ascii="Times New Roman" w:hAnsi="Times New Roman" w:cs="Times New Roman"/>
                <w:b/>
                <w:sz w:val="18"/>
                <w:szCs w:val="18"/>
              </w:rPr>
              <w:t>A/1</w:t>
            </w:r>
          </w:p>
        </w:tc>
        <w:tc>
          <w:tcPr>
            <w:tcW w:w="1953" w:type="dxa"/>
            <w:tcBorders>
              <w:top w:val="single" w:sz="4" w:space="0" w:color="000000"/>
              <w:left w:val="single" w:sz="4" w:space="0" w:color="000000"/>
              <w:bottom w:val="single" w:sz="4" w:space="0" w:color="000000"/>
            </w:tcBorders>
            <w:shd w:val="clear" w:color="auto" w:fill="auto"/>
          </w:tcPr>
          <w:p w:rsidR="00C81D4D" w:rsidRPr="00100066" w:rsidRDefault="000E3C01"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vizează creșterea eficienței energetice în clădirile rezidențiale din Regiunea de Dezvoltare Nord-Vest, oferind sprijin financiar sub formă de granturi, având ca obiectiv specific promovarea măsurilor de eficiență energetică și reducerea emisiilor de gaze cu efect de seră.</w:t>
            </w:r>
          </w:p>
        </w:tc>
        <w:tc>
          <w:tcPr>
            <w:tcW w:w="2159"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1.Unitățile Administrativ-Teritoriale oraș și municipiu (inclusiv municipiu reședință de județ)</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2.Unitățile Administrativ-Teritoriale comună din componența Zonelor Urbane Funcționale (ZUF) aferente municipiilor reședință de județ, limitrofe acestora, din cele 6 județe ale regiunii de Nord-Vest, respectiv Oradea, Bistrița, Cluj-Napoca, Baia Mare, Satu Mare, Zalău.</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3.Parteneriate între:</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O Unitate Administrativ-Teritorială eligibilă si Societățile comerciale înregistrate în baza Legii nr. 31/1990, care se încadrează în categoria IMM-urilor (calitatea de IMM trebuie să existe la data acordării ajutorului).</w:t>
            </w:r>
          </w:p>
          <w:p w:rsidR="00C81D4D" w:rsidRPr="00EF43A8" w:rsidRDefault="000E3C01" w:rsidP="000E3C01">
            <w:pPr>
              <w:autoSpaceDE w:val="0"/>
              <w:spacing w:after="0" w:line="240" w:lineRule="auto"/>
              <w:rPr>
                <w:rFonts w:ascii="Times New Roman" w:hAnsi="Times New Roman" w:cs="Times New Roman"/>
                <w:sz w:val="18"/>
                <w:szCs w:val="18"/>
                <w:lang w:val="en-US"/>
              </w:rPr>
            </w:pPr>
            <w:r w:rsidRPr="000E3C01">
              <w:rPr>
                <w:rFonts w:ascii="Times New Roman" w:hAnsi="Times New Roman" w:cs="Times New Roman"/>
                <w:sz w:val="16"/>
                <w:szCs w:val="16"/>
                <w:lang w:val="en-US"/>
              </w:rPr>
              <w:t>Pentru a fi eligibil, solicitantul trebuie să încheie un contract cu Asociaţia/Asociaţiile de proprietari pentru depunerea şi derularea proiectului.</w:t>
            </w:r>
          </w:p>
        </w:tc>
        <w:tc>
          <w:tcPr>
            <w:tcW w:w="4050"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de creștere a eficienței energetice în clădiri rezidențiale (blocuri de locuințe)</w:t>
            </w:r>
            <w:r>
              <w:rPr>
                <w:rFonts w:ascii="Times New Roman" w:hAnsi="Times New Roman" w:cs="Times New Roman"/>
                <w:sz w:val="18"/>
                <w:szCs w:val="18"/>
                <w:lang w:val="en-US"/>
              </w:rPr>
              <w:t>:</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 termică a elementelor de anvelopă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reabilitare/modernizare a sistemului de încălzire/ a sistemului de furnizare a apei calde de consum, precum și înlocuirea echipamentelor existente și racordarea la un sistem de încălzire centralizată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Lucrările de reabilitate/modernizare a sistemelor de ventilare naturală sau mecanică, inclusiv prin înlocuirea echipamentelor existente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ce vizează instalarea unor sisteme alternative de producere a energiei electrice și/sau termice din surse regenerabile, pentru consum propriu, inclusiv achiziționarea de echipamente specifice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Înlocuirea corpurilor de iluminat fluorescente/incandescente din spațiile comune cu corpuri de iluminat cu eficiență energetică ridicată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Sisteme de management energetic integrat pentru clădiri (inclusiv activități care conduc la realizarea obiectivelor proiectului, inclusiv activități necesare pregătirii clădirilor pentru soluții inteligente)</w:t>
            </w:r>
          </w:p>
          <w:p w:rsidR="00EF43A8" w:rsidRPr="00EF43A8"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conexe care contribuie la implementarea proiectului - sunt eligibile în proporție de maxim 15% din valoarea totală eligibilă</w:t>
            </w:r>
          </w:p>
          <w:p w:rsidR="00C81D4D" w:rsidRPr="00EF43A8" w:rsidRDefault="00C81D4D" w:rsidP="00EF43A8">
            <w:pPr>
              <w:autoSpaceDE w:val="0"/>
              <w:snapToGrid w:val="0"/>
              <w:spacing w:after="0" w:line="240" w:lineRule="auto"/>
              <w:rPr>
                <w:rFonts w:ascii="Times New Roman" w:hAnsi="Times New Roman" w:cs="Times New Roman"/>
                <w:sz w:val="16"/>
                <w:szCs w:val="16"/>
                <w:lang w:val="en-US"/>
              </w:rPr>
            </w:pPr>
          </w:p>
        </w:tc>
        <w:tc>
          <w:tcPr>
            <w:tcW w:w="1620" w:type="dxa"/>
            <w:tcBorders>
              <w:top w:val="single" w:sz="4" w:space="0" w:color="000000"/>
              <w:left w:val="single" w:sz="4" w:space="0" w:color="000000"/>
              <w:bottom w:val="single" w:sz="4" w:space="0" w:color="000000"/>
            </w:tcBorders>
            <w:shd w:val="clear" w:color="auto" w:fill="auto"/>
          </w:tcPr>
          <w:p w:rsidR="000E3C01" w:rsidRDefault="000E3C01" w:rsidP="00F029D9">
            <w:pPr>
              <w:autoSpaceDE w:val="0"/>
              <w:spacing w:after="0" w:line="240" w:lineRule="auto"/>
              <w:rPr>
                <w:rFonts w:ascii="Times New Roman" w:eastAsia="Times New Roman" w:hAnsi="Times New Roman" w:cs="Times New Roman"/>
                <w:sz w:val="20"/>
                <w:szCs w:val="20"/>
                <w:lang w:val="en-US"/>
              </w:rPr>
            </w:pPr>
            <w:r w:rsidRPr="000E3C01">
              <w:rPr>
                <w:rFonts w:ascii="Times New Roman" w:eastAsia="Times New Roman" w:hAnsi="Times New Roman" w:cs="Times New Roman"/>
                <w:sz w:val="20"/>
                <w:szCs w:val="20"/>
                <w:lang w:val="en-US"/>
              </w:rPr>
              <w:t>Valoarea minimă eligibilă a unui proiect este de 200.000,00 Euro, iar valoarea maximă eligibilă a unui proiect este de 5.000.000,00 Euro.</w:t>
            </w:r>
          </w:p>
          <w:p w:rsidR="00F029D9" w:rsidRPr="000E3C01" w:rsidRDefault="00F029D9" w:rsidP="00F029D9">
            <w:pPr>
              <w:autoSpaceDE w:val="0"/>
              <w:spacing w:after="0" w:line="240" w:lineRule="auto"/>
              <w:rPr>
                <w:rFonts w:ascii="Times New Roman" w:eastAsia="Times New Roman" w:hAnsi="Times New Roman" w:cs="Times New Roman"/>
                <w:sz w:val="20"/>
                <w:szCs w:val="20"/>
                <w:lang w:val="en-US"/>
              </w:rPr>
            </w:pPr>
          </w:p>
          <w:p w:rsidR="000E3C01" w:rsidRPr="000E3C01" w:rsidRDefault="000E3C01" w:rsidP="000E3C01">
            <w:pPr>
              <w:autoSpaceDE w:val="0"/>
              <w:spacing w:after="0" w:line="240" w:lineRule="auto"/>
              <w:rPr>
                <w:rFonts w:ascii="Times New Roman" w:eastAsia="Times New Roman" w:hAnsi="Times New Roman" w:cs="Times New Roman"/>
                <w:sz w:val="16"/>
                <w:szCs w:val="16"/>
                <w:lang w:val="en-US"/>
              </w:rPr>
            </w:pPr>
            <w:r w:rsidRPr="000E3C01">
              <w:rPr>
                <w:rFonts w:ascii="Times New Roman" w:eastAsia="Times New Roman" w:hAnsi="Times New Roman" w:cs="Times New Roman"/>
                <w:sz w:val="16"/>
                <w:szCs w:val="16"/>
                <w:lang w:val="en-US"/>
              </w:rPr>
              <w:t xml:space="preserve">Valoarea ajutorului de minimis acordat unei entități eligibile este de maxim 100.000 Euro, echivalent în lei la cursul de schimb InforEuro în vigoare la data semnării contractului de finanțare </w:t>
            </w:r>
            <w:r>
              <w:rPr>
                <w:rFonts w:ascii="Times New Roman" w:eastAsia="Times New Roman" w:hAnsi="Times New Roman" w:cs="Times New Roman"/>
                <w:sz w:val="16"/>
                <w:szCs w:val="16"/>
                <w:lang w:val="en-US"/>
              </w:rPr>
              <w:t>.</w:t>
            </w:r>
          </w:p>
          <w:p w:rsidR="00C81D4D" w:rsidRPr="00ED7065" w:rsidRDefault="000E3C01" w:rsidP="000E3C01">
            <w:pPr>
              <w:autoSpaceDE w:val="0"/>
              <w:spacing w:after="0" w:line="240" w:lineRule="auto"/>
              <w:rPr>
                <w:rFonts w:ascii="Times New Roman" w:eastAsia="Times New Roman" w:hAnsi="Times New Roman" w:cs="Times New Roman"/>
                <w:sz w:val="18"/>
                <w:szCs w:val="18"/>
                <w:lang w:val="en-US"/>
              </w:rPr>
            </w:pPr>
            <w:r w:rsidRPr="000E3C01">
              <w:rPr>
                <w:rFonts w:ascii="Times New Roman" w:eastAsia="Times New Roman" w:hAnsi="Times New Roman" w:cs="Times New Roman"/>
                <w:sz w:val="16"/>
                <w:szCs w:val="16"/>
                <w:lang w:val="en-US"/>
              </w:rPr>
              <w:t>În vederea accesării ajutoarelor de minimis, este obligatoriu ca blocul propus pentru finanțare (în care se găsesc spațiile IMM-urilor) să fie pe raza unui UAT</w:t>
            </w:r>
            <w:r w:rsidRPr="000E3C01">
              <w:rPr>
                <w:rFonts w:ascii="Times New Roman" w:eastAsia="Times New Roman" w:hAnsi="Times New Roman" w:cs="Times New Roman"/>
                <w:sz w:val="20"/>
                <w:szCs w:val="20"/>
                <w:lang w:val="en-US"/>
              </w:rPr>
              <w:t xml:space="preserve"> </w:t>
            </w:r>
            <w:r w:rsidRPr="000E3C01">
              <w:rPr>
                <w:rFonts w:ascii="Times New Roman" w:eastAsia="Times New Roman" w:hAnsi="Times New Roman" w:cs="Times New Roman"/>
                <w:sz w:val="16"/>
                <w:szCs w:val="16"/>
                <w:lang w:val="en-US"/>
              </w:rPr>
              <w:t xml:space="preserve">eligibil, cu care IMM-ul depune proiectul în parteneriat. </w:t>
            </w:r>
          </w:p>
        </w:tc>
        <w:tc>
          <w:tcPr>
            <w:tcW w:w="1530" w:type="dxa"/>
            <w:tcBorders>
              <w:top w:val="single" w:sz="4" w:space="0" w:color="000000"/>
              <w:left w:val="single" w:sz="4" w:space="0" w:color="000000"/>
              <w:bottom w:val="single" w:sz="4" w:space="0" w:color="000000"/>
            </w:tcBorders>
            <w:shd w:val="clear" w:color="auto" w:fill="auto"/>
          </w:tcPr>
          <w:p w:rsidR="000E3C01" w:rsidRDefault="00F029D9" w:rsidP="00F029D9">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0E3C01" w:rsidRPr="000E3C01">
              <w:rPr>
                <w:rFonts w:ascii="Times New Roman" w:hAnsi="Times New Roman" w:cs="Times New Roman"/>
                <w:sz w:val="20"/>
                <w:szCs w:val="20"/>
                <w:lang w:val="en-US"/>
              </w:rPr>
              <w:t>olicitanții/ liderii de parteneriat UAT: 2% din totalul cheltuielilor eligibile ale proiectelor.</w:t>
            </w:r>
          </w:p>
          <w:p w:rsidR="00F029D9" w:rsidRPr="00F029D9" w:rsidRDefault="00F029D9" w:rsidP="00F029D9">
            <w:pPr>
              <w:autoSpaceDE w:val="0"/>
              <w:snapToGrid w:val="0"/>
              <w:spacing w:after="0" w:line="240" w:lineRule="auto"/>
              <w:rPr>
                <w:rFonts w:ascii="Times New Roman" w:hAnsi="Times New Roman" w:cs="Times New Roman"/>
                <w:sz w:val="20"/>
                <w:szCs w:val="20"/>
                <w:lang w:val="en-US"/>
              </w:rPr>
            </w:pPr>
          </w:p>
          <w:p w:rsidR="000E3C01" w:rsidRPr="00F029D9" w:rsidRDefault="000E3C01" w:rsidP="00F029D9">
            <w:pPr>
              <w:autoSpaceDE w:val="0"/>
              <w:snapToGrid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Solicitantul acoperă 100% din valoarea cheltuielilor neeligibile corespunzătoare Asociației/lor de proprietari.</w:t>
            </w:r>
          </w:p>
          <w:p w:rsidR="00C81D4D" w:rsidRDefault="00C81D4D" w:rsidP="000E3C01">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C81D4D" w:rsidRDefault="00F029D9" w:rsidP="00B562E5">
            <w:pPr>
              <w:autoSpaceDE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28 martie 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43A8" w:rsidRDefault="00A83E65" w:rsidP="00B562E5">
            <w:pPr>
              <w:autoSpaceDE w:val="0"/>
              <w:spacing w:after="0" w:line="240" w:lineRule="auto"/>
            </w:pPr>
            <w:hyperlink r:id="rId8" w:history="1">
              <w:r w:rsidR="00F029D9" w:rsidRPr="00B802F3">
                <w:rPr>
                  <w:rStyle w:val="Hyperlink"/>
                </w:rPr>
                <w:t>https://fonduri-structurale.ro/finantari/129/cresterea-eficientei-energetice-in-regiune-ca-parte-a-investitiilor-in-sectorul-locuintelor#</w:t>
              </w:r>
            </w:hyperlink>
            <w:r w:rsidR="00F029D9" w:rsidRPr="00F029D9">
              <w:t>!</w:t>
            </w:r>
          </w:p>
          <w:p w:rsidR="00F029D9" w:rsidRDefault="00F029D9" w:rsidP="00B562E5">
            <w:pPr>
              <w:autoSpaceDE w:val="0"/>
              <w:spacing w:after="0" w:line="240" w:lineRule="auto"/>
            </w:pPr>
          </w:p>
        </w:tc>
      </w:tr>
      <w:tr w:rsidR="0014556E"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4556E" w:rsidRDefault="0014556E" w:rsidP="0014556E">
            <w:pPr>
              <w:autoSpaceDE w:val="0"/>
              <w:spacing w:after="0" w:line="240" w:lineRule="auto"/>
            </w:pPr>
            <w:r>
              <w:rPr>
                <w:rFonts w:ascii="Times New Roman" w:hAnsi="Times New Roman" w:cs="Times New Roman"/>
                <w:b/>
                <w:sz w:val="18"/>
                <w:szCs w:val="18"/>
              </w:rPr>
              <w:lastRenderedPageBreak/>
              <w:t>Guvernul</w:t>
            </w:r>
          </w:p>
          <w:p w:rsidR="0014556E" w:rsidRDefault="0014556E" w:rsidP="0014556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4556E"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4556E" w:rsidRPr="00907114"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14556E">
              <w:rPr>
                <w:rFonts w:ascii="Times New Roman" w:hAnsi="Times New Roman" w:cs="Times New Roman"/>
                <w:b/>
                <w:sz w:val="18"/>
                <w:szCs w:val="18"/>
              </w:rPr>
              <w:t>Finanțare pentru soluții de creștere a siguranței traficului și investiții în siguranța infrastructurii rutiere</w:t>
            </w:r>
          </w:p>
          <w:p w:rsidR="0014556E" w:rsidRDefault="0014556E" w:rsidP="0014556E">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3</w:t>
            </w:r>
            <w:r w:rsidRPr="00203D96">
              <w:rPr>
                <w:rFonts w:ascii="Times New Roman" w:hAnsi="Times New Roman" w:cs="Times New Roman"/>
                <w:b/>
                <w:sz w:val="18"/>
                <w:szCs w:val="18"/>
              </w:rPr>
              <w:t>/</w:t>
            </w:r>
            <w:r>
              <w:rPr>
                <w:rFonts w:ascii="Times New Roman" w:hAnsi="Times New Roman" w:cs="Times New Roman"/>
                <w:b/>
                <w:sz w:val="18"/>
                <w:szCs w:val="18"/>
              </w:rPr>
              <w:t>522.A</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4556E" w:rsidRDefault="0014556E" w:rsidP="00B562E5">
            <w:pPr>
              <w:autoSpaceDE w:val="0"/>
              <w:spacing w:after="0" w:line="240" w:lineRule="auto"/>
              <w:rPr>
                <w:rFonts w:ascii="Times New Roman" w:eastAsia="Times New Roman" w:hAnsi="Times New Roman" w:cs="Times New Roman"/>
                <w:sz w:val="20"/>
                <w:szCs w:val="20"/>
              </w:rPr>
            </w:pPr>
            <w:r w:rsidRPr="0014556E">
              <w:rPr>
                <w:rFonts w:ascii="Times New Roman" w:eastAsia="Times New Roman" w:hAnsi="Times New Roman" w:cs="Times New Roman"/>
                <w:sz w:val="20"/>
                <w:szCs w:val="20"/>
              </w:rPr>
              <w:t>Apelul de proiecte vizează soluții pentru creșterea siguranței traficului prin investiții în infrastructura rutieră.</w:t>
            </w:r>
          </w:p>
        </w:tc>
        <w:tc>
          <w:tcPr>
            <w:tcW w:w="2159"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14556E">
              <w:rPr>
                <w:rFonts w:ascii="Times New Roman" w:hAnsi="Times New Roman" w:cs="Times New Roman"/>
                <w:sz w:val="20"/>
                <w:szCs w:val="20"/>
                <w:lang w:val="en-US"/>
              </w:rPr>
              <w:t>Unităţi administrativ-teritoriale (UAT), respectiv județ, municipiu reședinţă de judeţ, municipiu, oraș;</w:t>
            </w:r>
          </w:p>
          <w:p w:rsid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14556E">
              <w:rPr>
                <w:rFonts w:ascii="Times New Roman" w:hAnsi="Times New Roman" w:cs="Times New Roman"/>
                <w:sz w:val="20"/>
                <w:szCs w:val="20"/>
                <w:lang w:val="en-US"/>
              </w:rPr>
              <w:t>Parteneriate între UAT Județ și Municipiu reședință de județ, Municipiu(i), Oraș(e), Comună(e).</w:t>
            </w:r>
          </w:p>
          <w:p w:rsidR="0014556E" w:rsidRPr="0014556E" w:rsidRDefault="0014556E" w:rsidP="0014556E">
            <w:pPr>
              <w:autoSpaceDE w:val="0"/>
              <w:spacing w:after="0" w:line="240" w:lineRule="auto"/>
              <w:rPr>
                <w:rFonts w:ascii="Times New Roman" w:hAnsi="Times New Roman" w:cs="Times New Roman"/>
                <w:sz w:val="20"/>
                <w:szCs w:val="20"/>
                <w:lang w:val="en-US"/>
              </w:rPr>
            </w:pP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Liderul de parteneriat trebuie să fie reprezentat în mod obligatoriu de UAT Județ.</w:t>
            </w: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4556E">
              <w:rPr>
                <w:rFonts w:ascii="Times New Roman" w:hAnsi="Times New Roman" w:cs="Times New Roman"/>
                <w:sz w:val="18"/>
                <w:szCs w:val="18"/>
                <w:lang w:val="en-US"/>
              </w:rPr>
              <w:t xml:space="preserve">Amenajare intersecții la nivel între căile de comunicații rutiere; </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4556E">
              <w:rPr>
                <w:rFonts w:ascii="Times New Roman" w:hAnsi="Times New Roman" w:cs="Times New Roman"/>
                <w:sz w:val="18"/>
                <w:szCs w:val="18"/>
                <w:lang w:val="en-US"/>
              </w:rPr>
              <w:t>Amenajare intersecții denivelate între căile de comunicații;</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4556E">
              <w:rPr>
                <w:rFonts w:ascii="Times New Roman" w:hAnsi="Times New Roman" w:cs="Times New Roman"/>
                <w:sz w:val="18"/>
                <w:szCs w:val="18"/>
                <w:lang w:val="en-US"/>
              </w:rPr>
              <w:t xml:space="preserve">Alte soluții inginerești/categorii de elemente privind creșterea siguranței traficului; </w:t>
            </w:r>
          </w:p>
          <w:p w:rsid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4556E">
              <w:rPr>
                <w:rFonts w:ascii="Times New Roman" w:hAnsi="Times New Roman" w:cs="Times New Roman"/>
                <w:sz w:val="18"/>
                <w:szCs w:val="18"/>
                <w:lang w:val="en-US"/>
              </w:rPr>
              <w:t>Soluții inginerești/categorii de elemente destinate prevenirii incidentelor/ accidentelor cauzate de fauna sălbatică.</w:t>
            </w:r>
          </w:p>
        </w:tc>
        <w:tc>
          <w:tcPr>
            <w:tcW w:w="162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pacing w:after="0" w:line="240" w:lineRule="auto"/>
              <w:rPr>
                <w:rFonts w:ascii="Times New Roman" w:eastAsia="Times New Roman" w:hAnsi="Times New Roman" w:cs="Times New Roman"/>
                <w:sz w:val="18"/>
                <w:szCs w:val="18"/>
                <w:lang w:val="en-US"/>
              </w:rPr>
            </w:pPr>
            <w:r w:rsidRPr="0014556E">
              <w:rPr>
                <w:rFonts w:ascii="Times New Roman" w:eastAsia="Times New Roman" w:hAnsi="Times New Roman" w:cs="Times New Roman"/>
                <w:sz w:val="18"/>
                <w:szCs w:val="18"/>
                <w:lang w:val="en-US"/>
              </w:rPr>
              <w:t>Valoarea minimă eligibilă a unui proiect este de 500.000,00 euro, iar valoarea maximă eligibilă a unui proiect este de 15.000.000,00 euro.</w:t>
            </w:r>
          </w:p>
        </w:tc>
        <w:tc>
          <w:tcPr>
            <w:tcW w:w="153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napToGrid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Procentul de cofinanțare acordat de către solicitant este de minim 2% din valoarea cheltuielilor eligibile.</w:t>
            </w:r>
          </w:p>
        </w:tc>
        <w:tc>
          <w:tcPr>
            <w:tcW w:w="1080" w:type="dxa"/>
            <w:tcBorders>
              <w:top w:val="single" w:sz="4" w:space="0" w:color="000000"/>
              <w:left w:val="single" w:sz="4" w:space="0" w:color="000000"/>
              <w:bottom w:val="single" w:sz="4" w:space="0" w:color="000000"/>
            </w:tcBorders>
            <w:shd w:val="clear" w:color="auto" w:fill="auto"/>
          </w:tcPr>
          <w:p w:rsidR="0014556E" w:rsidRPr="00700345" w:rsidRDefault="0014556E" w:rsidP="00B562E5">
            <w:pPr>
              <w:autoSpaceDE w:val="0"/>
              <w:spacing w:after="0" w:line="240" w:lineRule="auto"/>
              <w:rPr>
                <w:rFonts w:ascii="Times New Roman" w:hAnsi="Times New Roman" w:cs="Times New Roman"/>
                <w:sz w:val="18"/>
                <w:szCs w:val="18"/>
                <w:lang w:val="en-US"/>
              </w:rPr>
            </w:pPr>
            <w:r w:rsidRPr="0014556E">
              <w:rPr>
                <w:rFonts w:ascii="Times New Roman" w:hAnsi="Times New Roman" w:cs="Times New Roman"/>
                <w:sz w:val="18"/>
                <w:szCs w:val="18"/>
                <w:lang w:val="en-US"/>
              </w:rPr>
              <w:t>16.09.2024,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4556E" w:rsidRDefault="00A83E65" w:rsidP="00B562E5">
            <w:pPr>
              <w:autoSpaceDE w:val="0"/>
              <w:spacing w:after="0" w:line="240" w:lineRule="auto"/>
            </w:pPr>
            <w:hyperlink r:id="rId9" w:history="1">
              <w:r w:rsidR="0014556E" w:rsidRPr="00B802F3">
                <w:rPr>
                  <w:rStyle w:val="Hyperlink"/>
                </w:rPr>
                <w:t>https://www.fonduri-structurale.ro/finantari/170/finantare-pentru-solutii-de-crestere-a-sigurantei-traficului-si-investitii-in-siguranta-infrastructurii-rutiere</w:t>
              </w:r>
            </w:hyperlink>
          </w:p>
          <w:p w:rsidR="0014556E" w:rsidRDefault="0014556E"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rsid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8B178F" w:rsidRDefault="008B178F" w:rsidP="00B562E5">
            <w:pPr>
              <w:autoSpaceDE w:val="0"/>
              <w:spacing w:after="0" w:line="240" w:lineRule="auto"/>
              <w:rPr>
                <w:rFonts w:ascii="Times New Roman" w:eastAsia="Times New Roman" w:hAnsi="Times New Roman" w:cs="Times New Roman"/>
                <w:sz w:val="18"/>
                <w:szCs w:val="18"/>
                <w:lang w:val="en-US"/>
              </w:rPr>
            </w:pPr>
          </w:p>
          <w:p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A83E65" w:rsidP="00B562E5">
            <w:pPr>
              <w:autoSpaceDE w:val="0"/>
              <w:spacing w:after="0" w:line="240" w:lineRule="auto"/>
            </w:pPr>
            <w:hyperlink r:id="rId10" w:history="1">
              <w:r w:rsidR="00E80796" w:rsidRPr="00225A44">
                <w:rPr>
                  <w:rStyle w:val="Hyperlink"/>
                </w:rPr>
                <w:t>https://www.fonduri-structurale.ro/alte-finantari/866/programul-rabla-clasic-2024</w:t>
              </w:r>
            </w:hyperlink>
          </w:p>
          <w:p w:rsidR="00E80796" w:rsidRDefault="00E80796"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lei . </w:t>
            </w:r>
          </w:p>
          <w:p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 cu TVA inclus.</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A83E65" w:rsidP="00B562E5">
            <w:pPr>
              <w:autoSpaceDE w:val="0"/>
              <w:spacing w:after="0" w:line="240" w:lineRule="auto"/>
            </w:pPr>
            <w:hyperlink r:id="rId11" w:history="1">
              <w:r w:rsidR="001C5575" w:rsidRPr="00225A44">
                <w:rPr>
                  <w:rStyle w:val="Hyperlink"/>
                </w:rPr>
                <w:t>https://www.fonduri-structurale.ro/alte-finantari/867/programul-rabla-plus-2024</w:t>
              </w:r>
            </w:hyperlink>
          </w:p>
          <w:p w:rsidR="001C5575" w:rsidRDefault="001C5575" w:rsidP="00B562E5">
            <w:pPr>
              <w:autoSpaceDE w:val="0"/>
              <w:spacing w:after="0" w:line="240" w:lineRule="auto"/>
            </w:pPr>
          </w:p>
        </w:tc>
      </w:tr>
      <w:tr w:rsidR="002A5F60"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pacing w:after="0" w:line="240" w:lineRule="auto"/>
            </w:pPr>
            <w:r>
              <w:rPr>
                <w:rFonts w:ascii="Times New Roman" w:hAnsi="Times New Roman" w:cs="Times New Roman"/>
                <w:b/>
                <w:sz w:val="18"/>
                <w:szCs w:val="18"/>
              </w:rPr>
              <w:lastRenderedPageBreak/>
              <w:t>Guvernul</w:t>
            </w:r>
          </w:p>
          <w:p w:rsidR="002A5F60" w:rsidRDefault="002A5F60" w:rsidP="002A5F6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2A5F60">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Programul Educație și Ocupare</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B562E5">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2A5F60" w:rsidRPr="00E80796" w:rsidRDefault="002A5F60" w:rsidP="00E80796">
            <w:pPr>
              <w:autoSpaceDE w:val="0"/>
              <w:spacing w:after="0" w:line="240" w:lineRule="auto"/>
              <w:rPr>
                <w:rFonts w:ascii="Times New Roman" w:eastAsia="Times New Roman" w:hAnsi="Times New Roman" w:cs="Times New Roman"/>
                <w:sz w:val="20"/>
                <w:szCs w:val="20"/>
                <w:lang w:val="en-US"/>
              </w:rPr>
            </w:pPr>
            <w:r w:rsidRPr="002A5F60">
              <w:rPr>
                <w:rFonts w:ascii="Times New Roman" w:eastAsia="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tc>
        <w:tc>
          <w:tcPr>
            <w:tcW w:w="2159"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2A5F60">
              <w:rPr>
                <w:rFonts w:ascii="Times New Roman" w:hAnsi="Times New Roman" w:cs="Times New Roman"/>
                <w:lang w:val="en-US"/>
              </w:rPr>
              <w:t>Consiliile județene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2A5F60">
              <w:rPr>
                <w:rFonts w:ascii="Times New Roman" w:hAnsi="Times New Roman" w:cs="Times New Roman"/>
                <w:lang w:val="en-US"/>
              </w:rPr>
              <w:t>Partenerii eligibili sunt:</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Inspectoratul Școlar Județean (obligatoriu);</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Autorități ale administrației publice locale;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Instituții de învățământ superior;</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Unități de învățământ acreditate, publice și private, din rețeaua școlară națională.</w:t>
            </w:r>
          </w:p>
          <w:p w:rsidR="002A5F60" w:rsidRPr="002A5F60"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Centrele Județene de Resurse și Asistență Educațională (CJRAE);</w:t>
            </w:r>
          </w:p>
          <w:p w:rsid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Furnizori privați de educație timpurie, inclusiv organizații neguvernamentale</w:t>
            </w:r>
          </w:p>
          <w:p w:rsidR="002A5F60" w:rsidRPr="002A5F60" w:rsidRDefault="002A5F60" w:rsidP="002A5F60">
            <w:pPr>
              <w:autoSpaceDE w:val="0"/>
              <w:spacing w:after="0" w:line="240" w:lineRule="auto"/>
              <w:rPr>
                <w:rFonts w:ascii="Times New Roman" w:hAnsi="Times New Roman" w:cs="Times New Roman"/>
                <w:lang w:val="en-US"/>
              </w:rPr>
            </w:pPr>
          </w:p>
          <w:p w:rsidR="002A5F60" w:rsidRPr="00E80796"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Este obligatoriu ca Inspectoratul Școlar Județean să participe la implementarea proiectului în calitate de partener.</w:t>
            </w:r>
          </w:p>
        </w:tc>
        <w:tc>
          <w:tcPr>
            <w:tcW w:w="405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2A5F60">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2A5F60">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2A5F60" w:rsidRPr="00655ADF"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r w:rsidRPr="002A5F60">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minimă eligibilă a unui proiect este de 201.000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maximă eligibilă a unui proiect nu poate depăși 7.814.851,40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Pr="001C5575"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eligibilă a proiectelor va fi dimensionată în funcție de valoarea grupului țintă aferentă indicatorului EECO06+07 având ca reper suma de 3.117,21 euro/copil.</w:t>
            </w:r>
          </w:p>
        </w:tc>
        <w:tc>
          <w:tcPr>
            <w:tcW w:w="153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Cofinanțarea se aplică în funcție de Beneficiarul eligibil, astfel: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0% pentru persoanele juridice de drept privat fără scop patrimonial.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instituţii de învăţământ preuniversitar/ superior private acreditate.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2A5F60" w:rsidRPr="002A5F60" w:rsidRDefault="002A5F60" w:rsidP="001C5575">
            <w:pPr>
              <w:autoSpaceDE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10.09.2024,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2A5F60" w:rsidRDefault="00A83E65" w:rsidP="00B562E5">
            <w:pPr>
              <w:autoSpaceDE w:val="0"/>
              <w:spacing w:after="0" w:line="240" w:lineRule="auto"/>
            </w:pPr>
            <w:hyperlink r:id="rId12" w:history="1">
              <w:r w:rsidR="002A5F60" w:rsidRPr="00B802F3">
                <w:rPr>
                  <w:rStyle w:val="Hyperlink"/>
                </w:rPr>
                <w:t>https://www.fonduri-structurale.ro/finantari/734/diversificarea-si-flexibilizarea-serviciilor-de-educatie-timpurie</w:t>
              </w:r>
            </w:hyperlink>
          </w:p>
          <w:p w:rsidR="002A5F60" w:rsidRDefault="002A5F60" w:rsidP="00B562E5">
            <w:pPr>
              <w:autoSpaceDE w:val="0"/>
              <w:spacing w:after="0" w:line="240" w:lineRule="auto"/>
            </w:pPr>
          </w:p>
        </w:tc>
      </w:tr>
      <w:tr w:rsidR="00AB6AB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B6ABA" w:rsidRPr="006D4CA5"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lastRenderedPageBreak/>
              <w:t>Comisia Europeană</w:t>
            </w:r>
          </w:p>
          <w:p w:rsidR="00AB6ABA"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t>Agenția Executivă Europeană pentru Climă, Infrastructură și Mediu</w:t>
            </w:r>
          </w:p>
          <w:p w:rsidR="00AB6ABA" w:rsidRPr="00C56108" w:rsidRDefault="00AB6ABA" w:rsidP="00B7416F">
            <w:pPr>
              <w:rPr>
                <w:rFonts w:ascii="Times New Roman" w:hAnsi="Times New Roman" w:cs="Times New Roman"/>
                <w:b/>
                <w:sz w:val="18"/>
                <w:szCs w:val="18"/>
              </w:rPr>
            </w:pPr>
          </w:p>
          <w:p w:rsidR="00AB6ABA" w:rsidRPr="00C56108" w:rsidRDefault="00AB6ABA" w:rsidP="00B7416F">
            <w:pPr>
              <w:rPr>
                <w:rFonts w:ascii="Times New Roman" w:hAnsi="Times New Roman" w:cs="Times New Roman"/>
                <w:b/>
                <w:sz w:val="18"/>
                <w:szCs w:val="18"/>
              </w:rPr>
            </w:pPr>
            <w:r w:rsidRPr="00C56108">
              <w:rPr>
                <w:rFonts w:ascii="Times New Roman" w:hAnsi="Times New Roman" w:cs="Times New Roman"/>
                <w:b/>
                <w:sz w:val="18"/>
                <w:szCs w:val="18"/>
              </w:rPr>
              <w:t>Programul LIFE - Apeluri 2024</w:t>
            </w:r>
          </w:p>
          <w:p w:rsidR="00AB6ABA" w:rsidRDefault="00AB6ABA" w:rsidP="00B7416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D67393">
              <w:rPr>
                <w:rFonts w:ascii="Times New Roman" w:eastAsia="Times New Roman" w:hAnsi="Times New Roman" w:cs="Times New Roman"/>
                <w:sz w:val="18"/>
                <w:szCs w:val="18"/>
                <w:lang w:val="en-US"/>
              </w:rPr>
              <w:t>Programul LIFE este singurul program al UE dedicat exclusiv mediului, conservării naturii și acțiunilor de combatere a schimbărilor climatice.</w:t>
            </w:r>
          </w:p>
        </w:tc>
        <w:tc>
          <w:tcPr>
            <w:tcW w:w="2159"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pacing w:after="0" w:line="240" w:lineRule="auto"/>
              <w:rPr>
                <w:rFonts w:ascii="Times New Roman" w:hAnsi="Times New Roman" w:cs="Times New Roman"/>
                <w:lang w:val="en-US"/>
              </w:rPr>
            </w:pPr>
            <w:r w:rsidRPr="00811CC7">
              <w:rPr>
                <w:rFonts w:ascii="Times New Roman" w:hAnsi="Times New Roman" w:cs="Times New Roman"/>
                <w:lang w:val="en-US"/>
              </w:rPr>
              <w:t>întreprinderi, instituții academice, administrații naționale, regionale și locale și organizații neguvernamentale care lucrează în UE în domeniul conservării naturii, al protecției mediului, al schimbărilor climatice sau al tranziției către o energie curată</w:t>
            </w:r>
          </w:p>
        </w:tc>
        <w:tc>
          <w:tcPr>
            <w:tcW w:w="405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Bugetul programului pentru perioada 2021-2027 este de 571 de milioane de euro, împărțit astfel:</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 xml:space="preserve">Proiecte de Acțiune Standard </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Natură și biodiversitate - 155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Economie circulară și calitatea vieții - 65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Atenuarea și adaptarea la schimbările climatice - 61,98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- 4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Noul Bauhaus European - 8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Guvernare ambientală - 10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Acțiuni de Coordonare și Suport</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- 77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Proiecte Strategice și Integrative - 150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Asistență Tehnică pentru Pregătirea Proiectelor Strategice și Integrative - 26 milioane euro.</w:t>
            </w:r>
          </w:p>
          <w:p w:rsidR="00AB6ABA" w:rsidRPr="00412E5B"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Acorduri Specifice de Finanțare pentru Organizațiile Neguvernamentale (ONG-uri) - 14 milioane euro.</w:t>
            </w:r>
          </w:p>
        </w:tc>
        <w:tc>
          <w:tcPr>
            <w:tcW w:w="162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9B5380" w:rsidRDefault="00AB6ABA" w:rsidP="00B7416F">
            <w:pPr>
              <w:autoSpaceDE w:val="0"/>
              <w:snapToGrid w:val="0"/>
              <w:spacing w:after="0" w:line="240" w:lineRule="auto"/>
              <w:rPr>
                <w:rFonts w:ascii="Times New Roman" w:hAnsi="Times New Roman" w:cs="Times New Roman"/>
                <w:sz w:val="20"/>
                <w:szCs w:val="20"/>
                <w:lang w:val="en-US"/>
              </w:rPr>
            </w:pPr>
            <w:r w:rsidRPr="009B5380">
              <w:rPr>
                <w:rFonts w:ascii="Times New Roman" w:hAnsi="Times New Roman" w:cs="Times New Roman"/>
                <w:sz w:val="20"/>
                <w:szCs w:val="20"/>
                <w:lang w:val="en-US"/>
              </w:rPr>
              <w:t>571 de milioane de euro</w:t>
            </w:r>
          </w:p>
        </w:tc>
        <w:tc>
          <w:tcPr>
            <w:tcW w:w="1530" w:type="dxa"/>
            <w:tcBorders>
              <w:top w:val="single" w:sz="4" w:space="0" w:color="000000"/>
              <w:left w:val="single" w:sz="4" w:space="0" w:color="000000"/>
              <w:bottom w:val="single" w:sz="4" w:space="0" w:color="000000"/>
            </w:tcBorders>
            <w:shd w:val="clear" w:color="auto" w:fill="auto"/>
          </w:tcPr>
          <w:p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AB6ABA" w:rsidRPr="00D3586D" w:rsidRDefault="00AB6ABA" w:rsidP="00B7416F">
            <w:pPr>
              <w:autoSpaceDE w:val="0"/>
              <w:spacing w:after="0" w:line="240" w:lineRule="auto"/>
              <w:rPr>
                <w:rFonts w:ascii="Times New Roman" w:eastAsia="Times New Roman" w:hAnsi="Times New Roman" w:cs="Times New Roman"/>
                <w:sz w:val="18"/>
                <w:szCs w:val="18"/>
                <w:lang w:val="en-US"/>
              </w:rPr>
            </w:pPr>
            <w:r w:rsidRPr="009C3D59">
              <w:rPr>
                <w:rFonts w:ascii="Times New Roman" w:eastAsia="Times New Roman" w:hAnsi="Times New Roman" w:cs="Times New Roman"/>
                <w:sz w:val="18"/>
                <w:szCs w:val="18"/>
                <w:lang w:val="en-US"/>
              </w:rPr>
              <w:t>17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B6ABA" w:rsidRPr="00521995" w:rsidRDefault="00AB6ABA" w:rsidP="00B7416F">
            <w:pPr>
              <w:autoSpaceDE w:val="0"/>
              <w:spacing w:after="0" w:line="240" w:lineRule="auto"/>
              <w:rPr>
                <w:color w:val="7030A0"/>
                <w:u w:val="single"/>
              </w:rPr>
            </w:pPr>
            <w:r w:rsidRPr="00521995">
              <w:rPr>
                <w:color w:val="7030A0"/>
                <w:u w:val="single"/>
              </w:rPr>
              <w:t>https://www.fonduri-structurale.ro/alte-finantari/889/programul-life-apeluri-2024</w:t>
            </w:r>
          </w:p>
        </w:tc>
      </w:tr>
      <w:tr w:rsidR="00F64EE5"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64EE5" w:rsidRDefault="00F64EE5" w:rsidP="00B7416F">
            <w:pPr>
              <w:autoSpaceDE w:val="0"/>
              <w:spacing w:after="0" w:line="240" w:lineRule="auto"/>
              <w:rPr>
                <w:rFonts w:ascii="Times New Roman" w:hAnsi="Times New Roman" w:cs="Times New Roman"/>
                <w:b/>
                <w:sz w:val="18"/>
                <w:szCs w:val="18"/>
              </w:rPr>
            </w:pPr>
          </w:p>
          <w:p w:rsidR="00F64EE5"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Programul Educație și Ocupare (PEO) 2021-2027</w:t>
            </w:r>
          </w:p>
          <w:p w:rsidR="00F64EE5" w:rsidRDefault="00F64EE5" w:rsidP="00B7416F">
            <w:pPr>
              <w:autoSpaceDE w:val="0"/>
              <w:spacing w:after="0" w:line="240" w:lineRule="auto"/>
              <w:rPr>
                <w:rFonts w:ascii="Times New Roman" w:hAnsi="Times New Roman" w:cs="Times New Roman"/>
                <w:b/>
                <w:sz w:val="18"/>
                <w:szCs w:val="18"/>
              </w:rPr>
            </w:pPr>
          </w:p>
          <w:p w:rsidR="00F64EE5" w:rsidRPr="00C749EF"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F64EE5" w:rsidRPr="004D64A0" w:rsidRDefault="00991AC2" w:rsidP="00991AC2">
            <w:pPr>
              <w:autoSpaceDE w:val="0"/>
              <w:spacing w:after="0" w:line="240" w:lineRule="auto"/>
              <w:rPr>
                <w:rFonts w:ascii="Times New Roman" w:eastAsia="Times New Roman" w:hAnsi="Times New Roman" w:cs="Times New Roman"/>
                <w:sz w:val="18"/>
                <w:szCs w:val="18"/>
                <w:lang w:val="en-US"/>
              </w:rPr>
            </w:pPr>
            <w:r w:rsidRPr="00F64EE5">
              <w:rPr>
                <w:rFonts w:ascii="Times New Roman" w:hAnsi="Times New Roman" w:cs="Times New Roman"/>
                <w:b/>
                <w:sz w:val="18"/>
                <w:szCs w:val="18"/>
              </w:rPr>
              <w:t>Diversificarea și flexibilizarea serviciilor</w:t>
            </w:r>
            <w:r>
              <w:rPr>
                <w:rFonts w:ascii="Times New Roman" w:hAnsi="Times New Roman" w:cs="Times New Roman"/>
                <w:b/>
                <w:sz w:val="18"/>
                <w:szCs w:val="18"/>
              </w:rPr>
              <w:t xml:space="preserve"> de suport socio-educaţional</w:t>
            </w:r>
          </w:p>
        </w:tc>
        <w:tc>
          <w:tcPr>
            <w:tcW w:w="2159"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F64EE5">
              <w:rPr>
                <w:rFonts w:ascii="Times New Roman" w:hAnsi="Times New Roman" w:cs="Times New Roman"/>
                <w:lang w:val="en-US"/>
              </w:rPr>
              <w:t>Consiliile județene</w:t>
            </w:r>
          </w:p>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F64EE5">
              <w:rPr>
                <w:rFonts w:ascii="Times New Roman" w:hAnsi="Times New Roman" w:cs="Times New Roman"/>
                <w:lang w:val="en-US"/>
              </w:rPr>
              <w:t>Partenerii eligibili sunt:</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Inspectoratul Școlar Județean (obligatoriu);</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Autorități ale administrației publice locale;</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Instituții de învățământ superior;</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Unități de învățământ acreditate, publice și private, din rețeaua școlară națională.</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Centrele Județene de Resurse și Asistență Educațională (CJRAE);</w:t>
            </w:r>
          </w:p>
          <w:p w:rsid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Furnizori privați de educație timpurie, inclusiv organizații neguvernamentale</w:t>
            </w:r>
          </w:p>
        </w:tc>
        <w:tc>
          <w:tcPr>
            <w:tcW w:w="4050"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p w:rsidR="00F64EE5" w:rsidRDefault="00F64EE5"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Se finanţează:</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F64EE5" w:rsidRPr="00A1317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minimă eligibilă a unui proiect este de 201.000 euro</w:t>
            </w:r>
          </w:p>
          <w:p w:rsidR="00F64EE5" w:rsidRPr="00E625D4"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maximă eligibilă a unui proiect nu poate depăși 7.814.851,40 euro.</w:t>
            </w:r>
          </w:p>
        </w:tc>
        <w:tc>
          <w:tcPr>
            <w:tcW w:w="153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sidRPr="00F64EE5">
              <w:rPr>
                <w:rFonts w:ascii="Times New Roman" w:eastAsia="Times New Roman" w:hAnsi="Times New Roman" w:cs="Times New Roman"/>
                <w:sz w:val="16"/>
                <w:szCs w:val="16"/>
                <w:lang w:val="en-US"/>
              </w:rPr>
              <w:t>Cofinanțarea se aplică în funcție de Beneficiarul eligibil, astfel:</w:t>
            </w: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F64EE5" w:rsidRPr="00412E5B" w:rsidRDefault="00F64EE5" w:rsidP="00F64EE5">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tc>
        <w:tc>
          <w:tcPr>
            <w:tcW w:w="1080" w:type="dxa"/>
            <w:tcBorders>
              <w:top w:val="single" w:sz="4" w:space="0" w:color="000000"/>
              <w:left w:val="single" w:sz="4" w:space="0" w:color="000000"/>
              <w:bottom w:val="single" w:sz="4" w:space="0" w:color="000000"/>
            </w:tcBorders>
            <w:shd w:val="clear" w:color="auto" w:fill="auto"/>
          </w:tcPr>
          <w:p w:rsidR="00F64EE5" w:rsidRPr="00F24B4C" w:rsidRDefault="008B3268" w:rsidP="008B3268">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29 Noi</w:t>
            </w:r>
            <w:r w:rsidR="00F64EE5" w:rsidRPr="00F64EE5">
              <w:rPr>
                <w:rFonts w:ascii="Times New Roman" w:eastAsia="Times New Roman" w:hAnsi="Times New Roman" w:cs="Times New Roman"/>
                <w:sz w:val="18"/>
                <w:szCs w:val="18"/>
                <w:lang w:val="en-US"/>
              </w:rPr>
              <w: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64EE5" w:rsidRDefault="00A83E65" w:rsidP="00B7416F">
            <w:pPr>
              <w:autoSpaceDE w:val="0"/>
              <w:spacing w:after="0" w:line="240" w:lineRule="auto"/>
              <w:rPr>
                <w:color w:val="4F81BD" w:themeColor="accent1"/>
                <w:u w:val="single"/>
              </w:rPr>
            </w:pPr>
            <w:hyperlink r:id="rId13" w:history="1">
              <w:r w:rsidR="00F64EE5" w:rsidRPr="007D78AF">
                <w:rPr>
                  <w:rStyle w:val="Hyperlink"/>
                </w:rPr>
                <w:t>https://fonduri-structurale.ro/finantari/734/diversificarea-si-flexibilizarea-serviciilor-de-educatie-timpurie#</w:t>
              </w:r>
            </w:hyperlink>
            <w:r w:rsidR="00F64EE5" w:rsidRPr="00F64EE5">
              <w:rPr>
                <w:color w:val="4F81BD" w:themeColor="accent1"/>
                <w:u w:val="single"/>
              </w:rPr>
              <w:t>!</w:t>
            </w:r>
          </w:p>
          <w:p w:rsidR="00F64EE5" w:rsidRPr="00130D1D" w:rsidRDefault="00F64EE5" w:rsidP="00B7416F">
            <w:pPr>
              <w:autoSpaceDE w:val="0"/>
              <w:spacing w:after="0" w:line="240" w:lineRule="auto"/>
              <w:rPr>
                <w:color w:val="4F81BD" w:themeColor="accent1"/>
                <w:u w:val="single"/>
              </w:rPr>
            </w:pPr>
          </w:p>
        </w:tc>
      </w:tr>
      <w:tr w:rsidR="00FC1D2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C1D2B" w:rsidRDefault="00FC1D2B" w:rsidP="00FC1D2B">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C1D2B" w:rsidRDefault="00FC1D2B" w:rsidP="00FC1D2B">
            <w:pPr>
              <w:autoSpaceDE w:val="0"/>
              <w:spacing w:after="0" w:line="240" w:lineRule="auto"/>
              <w:rPr>
                <w:rFonts w:ascii="Times New Roman" w:hAnsi="Times New Roman" w:cs="Times New Roman"/>
                <w:b/>
                <w:sz w:val="18"/>
                <w:szCs w:val="18"/>
              </w:rPr>
            </w:pPr>
          </w:p>
          <w:p w:rsidR="00FC1D2B" w:rsidRDefault="00FC1D2B" w:rsidP="00FC1D2B">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 xml:space="preserve">Programul Sănătate </w:t>
            </w:r>
          </w:p>
          <w:p w:rsidR="00FC1D2B" w:rsidRDefault="00FC1D2B" w:rsidP="00FC1D2B">
            <w:pPr>
              <w:autoSpaceDE w:val="0"/>
              <w:spacing w:after="0" w:line="240" w:lineRule="auto"/>
              <w:rPr>
                <w:rFonts w:ascii="Times New Roman" w:hAnsi="Times New Roman" w:cs="Times New Roman"/>
                <w:b/>
                <w:sz w:val="18"/>
                <w:szCs w:val="18"/>
              </w:rPr>
            </w:pPr>
          </w:p>
          <w:p w:rsidR="00FC1D2B" w:rsidRDefault="00FC1D2B" w:rsidP="00FC1D2B">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Investiții pentru cabinete de asistență medicală stomatologică care furnizează servicii copiilor, în ambulatoriile integrate spitalelor de pediatrie sau ambulatoriile spitalelor publice care au secții de pediatrie</w:t>
            </w:r>
          </w:p>
        </w:tc>
        <w:tc>
          <w:tcPr>
            <w:tcW w:w="1953" w:type="dxa"/>
            <w:tcBorders>
              <w:top w:val="single" w:sz="4" w:space="0" w:color="000000"/>
              <w:left w:val="single" w:sz="4" w:space="0" w:color="000000"/>
              <w:bottom w:val="single" w:sz="4" w:space="0" w:color="000000"/>
            </w:tcBorders>
            <w:shd w:val="clear" w:color="auto" w:fill="auto"/>
          </w:tcPr>
          <w:p w:rsidR="00FC1D2B" w:rsidRPr="00FC1D2B" w:rsidRDefault="00FC1D2B" w:rsidP="00991AC2">
            <w:pPr>
              <w:autoSpaceDE w:val="0"/>
              <w:spacing w:after="0" w:line="240" w:lineRule="auto"/>
              <w:rPr>
                <w:rFonts w:ascii="Times New Roman" w:hAnsi="Times New Roman" w:cs="Times New Roman"/>
                <w:bCs/>
                <w:sz w:val="18"/>
                <w:szCs w:val="18"/>
              </w:rPr>
            </w:pPr>
            <w:r>
              <w:rPr>
                <w:rFonts w:ascii="Times New Roman" w:hAnsi="Times New Roman" w:cs="Times New Roman"/>
                <w:bCs/>
                <w:sz w:val="18"/>
                <w:szCs w:val="18"/>
              </w:rPr>
              <w:t>F</w:t>
            </w:r>
            <w:r w:rsidRPr="00FC1D2B">
              <w:rPr>
                <w:rFonts w:ascii="Times New Roman" w:hAnsi="Times New Roman" w:cs="Times New Roman"/>
                <w:bCs/>
                <w:sz w:val="18"/>
                <w:szCs w:val="18"/>
              </w:rPr>
              <w:t>inanțarea înființării/renovării/dotării cabinetele de asistență medicală stomatologică pentru copii, inclusiv copii cu nevoi speciale, în ambulatoriile spitalelor de pediatrie sau ale spitalelor publice cu secții de pediatrie. Finanțarea se acordă sub formă de granturi și are ca obiectiv creșterea calității serviciilor de asistență medicală primară și îmbunătățirea serviciilor preventive.</w:t>
            </w:r>
          </w:p>
        </w:tc>
        <w:tc>
          <w:tcPr>
            <w:tcW w:w="2159" w:type="dxa"/>
            <w:tcBorders>
              <w:top w:val="single" w:sz="4" w:space="0" w:color="000000"/>
              <w:left w:val="single" w:sz="4" w:space="0" w:color="000000"/>
              <w:bottom w:val="single" w:sz="4" w:space="0" w:color="000000"/>
            </w:tcBorders>
            <w:shd w:val="clear" w:color="auto" w:fill="auto"/>
          </w:tcPr>
          <w:p w:rsid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a) Unități sanitare publice de pediatrie sau unități sanitare publice cu secții de pediatrie;</w:t>
            </w:r>
          </w:p>
          <w:p w:rsidR="006763DB" w:rsidRPr="006763DB" w:rsidRDefault="006763DB" w:rsidP="006763DB">
            <w:pPr>
              <w:autoSpaceDE w:val="0"/>
              <w:spacing w:after="0" w:line="240" w:lineRule="auto"/>
              <w:rPr>
                <w:rFonts w:ascii="Times New Roman" w:hAnsi="Times New Roman" w:cs="Times New Roman"/>
                <w:sz w:val="18"/>
                <w:szCs w:val="18"/>
                <w:lang w:val="en-US"/>
              </w:rPr>
            </w:pPr>
          </w:p>
          <w:p w:rsid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b) Primăria Municipiului București, inclusiv prin Administrația Spitalelor și Serviciilor Medicale București și sectoarele Municipiului București, care au în coordonare/ subordonare/ autoritate sau dețin în administrare/ proprietate unitățile de la punctul a);</w:t>
            </w:r>
          </w:p>
          <w:p w:rsidR="006763DB" w:rsidRPr="006763DB" w:rsidRDefault="006763DB" w:rsidP="006763DB">
            <w:pPr>
              <w:autoSpaceDE w:val="0"/>
              <w:spacing w:after="0" w:line="240" w:lineRule="auto"/>
              <w:rPr>
                <w:rFonts w:ascii="Times New Roman" w:hAnsi="Times New Roman" w:cs="Times New Roman"/>
                <w:sz w:val="18"/>
                <w:szCs w:val="18"/>
                <w:lang w:val="en-US"/>
              </w:rPr>
            </w:pPr>
          </w:p>
          <w:p w:rsidR="006763DB" w:rsidRP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c) Unitățile administrativ-teritoriale, care au în coordonare/ subordonare/</w:t>
            </w:r>
          </w:p>
          <w:p w:rsid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autoritate sau dețin în administrare/ proprietate unitățile de la punctul a);</w:t>
            </w:r>
          </w:p>
          <w:p w:rsidR="006763DB" w:rsidRPr="006763DB" w:rsidRDefault="006763DB" w:rsidP="006763DB">
            <w:pPr>
              <w:autoSpaceDE w:val="0"/>
              <w:spacing w:after="0" w:line="240" w:lineRule="auto"/>
              <w:rPr>
                <w:rFonts w:ascii="Times New Roman" w:hAnsi="Times New Roman" w:cs="Times New Roman"/>
                <w:sz w:val="18"/>
                <w:szCs w:val="18"/>
                <w:lang w:val="en-US"/>
              </w:rPr>
            </w:pPr>
          </w:p>
          <w:p w:rsidR="00FC1D2B" w:rsidRPr="006763DB" w:rsidRDefault="006763DB" w:rsidP="006763DB">
            <w:pPr>
              <w:autoSpaceDE w:val="0"/>
              <w:spacing w:after="0" w:line="240" w:lineRule="auto"/>
              <w:rPr>
                <w:rFonts w:ascii="Times New Roman" w:hAnsi="Times New Roman" w:cs="Times New Roman"/>
                <w:sz w:val="16"/>
                <w:szCs w:val="16"/>
                <w:lang w:val="en-US"/>
              </w:rPr>
            </w:pPr>
            <w:r w:rsidRPr="006763DB">
              <w:rPr>
                <w:rFonts w:ascii="Times New Roman" w:hAnsi="Times New Roman" w:cs="Times New Roman"/>
                <w:sz w:val="18"/>
                <w:szCs w:val="18"/>
                <w:lang w:val="en-US"/>
              </w:rPr>
              <w:t>d) Ministerul Sănătății, alte autorități și instituții publice centrale, inclusiv autorități și instituții publice centrale din sfera apărării, ordinii publice și siguranței naționale, respectiv a Academiei Române care au în coordonare/ subordonare/ autoritate sau dețin în administrare/ proprietate unitățile de la punctul a).</w:t>
            </w:r>
          </w:p>
        </w:tc>
        <w:tc>
          <w:tcPr>
            <w:tcW w:w="4050" w:type="dxa"/>
            <w:tcBorders>
              <w:top w:val="single" w:sz="4" w:space="0" w:color="000000"/>
              <w:left w:val="single" w:sz="4" w:space="0" w:color="000000"/>
              <w:bottom w:val="single" w:sz="4" w:space="0" w:color="000000"/>
            </w:tcBorders>
            <w:shd w:val="clear" w:color="auto" w:fill="auto"/>
          </w:tcPr>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Activitățile eligibile sunt:</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 xml:space="preserve">investițiile în renovarea cabinetelor de asistență medicală stomatologică în structura ambulatoriilor integrate spitalelor de pediatrie sau în ambulatoriile spitalelor publice care au secții de pediatrie care să furnizeze servicii de asistență medicală stomatologică acordată copiilor, inclusiv copiilor cu nevoi speciale. </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Lucrările de renovare șe vor limita la lucrările igienizare, reparații, înlocuiri, placaje, vopsitorii, finisaje, alte mici lucrări, etc conform celor menționate în art. 11 din legea nr. 50/1991 privind autorizarea executării lucrărilor de construcții, cu modificări și completări ulterioare, lucrări care nu necesită autorizație de construire. Aceste lucrări vor viza strict cabinetele de asistență medicală stomatologică din ambulatoriile integrate spitalelor de pediatrie sau în ambulatoriile spitalelor publice care au secții de pediatrie.</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FC1D2B" w:rsidRPr="00F64EE5"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În contextul măsurilor de digitalizare este recomandat ca unitatea sanitară sprijinită să utilizeze sau să implementeze măsuri de digitalizare care să permită: programarea online/ telefonică a serviciilor medicale și furnizarea de informații privind serviciile medicale acordate, după caz, dar și un sistem informatic integrat care să permită comunicarea datelor</w:t>
            </w:r>
            <w:r>
              <w:rPr>
                <w:rFonts w:ascii="Times New Roman" w:hAnsi="Times New Roman" w:cs="Times New Roman"/>
                <w:sz w:val="20"/>
                <w:szCs w:val="20"/>
                <w:lang w:val="en-US"/>
              </w:rPr>
              <w:t xml:space="preserve"> </w:t>
            </w:r>
            <w:r w:rsidRPr="006763DB">
              <w:rPr>
                <w:rFonts w:ascii="Times New Roman" w:hAnsi="Times New Roman" w:cs="Times New Roman"/>
                <w:sz w:val="20"/>
                <w:szCs w:val="20"/>
                <w:lang w:val="en-US"/>
              </w:rPr>
              <w:t>medicale</w:t>
            </w:r>
          </w:p>
        </w:tc>
        <w:tc>
          <w:tcPr>
            <w:tcW w:w="1620" w:type="dxa"/>
            <w:tcBorders>
              <w:top w:val="single" w:sz="4" w:space="0" w:color="000000"/>
              <w:left w:val="single" w:sz="4" w:space="0" w:color="000000"/>
              <w:bottom w:val="single" w:sz="4" w:space="0" w:color="000000"/>
            </w:tcBorders>
            <w:shd w:val="clear" w:color="auto" w:fill="auto"/>
          </w:tcPr>
          <w:p w:rsid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 xml:space="preserve">Valoarea minimă a finanțării eligibile/nerambursabile a unui proiect este de 200.001 euro </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FC1D2B" w:rsidRPr="00F64EE5"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valoarea maximă a finanțării eligibile/nerambursabile a unui proiect este de 250.000 euro.</w:t>
            </w:r>
          </w:p>
        </w:tc>
        <w:tc>
          <w:tcPr>
            <w:tcW w:w="1530" w:type="dxa"/>
            <w:tcBorders>
              <w:top w:val="single" w:sz="4" w:space="0" w:color="000000"/>
              <w:left w:val="single" w:sz="4" w:space="0" w:color="000000"/>
              <w:bottom w:val="single" w:sz="4" w:space="0" w:color="000000"/>
            </w:tcBorders>
            <w:shd w:val="clear" w:color="auto" w:fill="auto"/>
          </w:tcPr>
          <w:p w:rsidR="00FC1D2B" w:rsidRPr="00F64EE5" w:rsidRDefault="006763DB" w:rsidP="00F64EE5">
            <w:pPr>
              <w:autoSpaceDE w:val="0"/>
              <w:snapToGrid w:val="0"/>
              <w:spacing w:after="0" w:line="240" w:lineRule="auto"/>
              <w:rPr>
                <w:rFonts w:ascii="Times New Roman" w:eastAsia="Times New Roman" w:hAnsi="Times New Roman" w:cs="Times New Roman"/>
                <w:sz w:val="16"/>
                <w:szCs w:val="16"/>
                <w:lang w:val="en-US"/>
              </w:rPr>
            </w:pPr>
            <w:r w:rsidRPr="006763DB">
              <w:rPr>
                <w:rFonts w:ascii="Times New Roman" w:eastAsia="Times New Roman" w:hAnsi="Times New Roman" w:cs="Times New Roman"/>
                <w:sz w:val="16"/>
                <w:szCs w:val="16"/>
                <w:lang w:val="en-US"/>
              </w:rPr>
              <w:t>Solicitantul este obligat să asigure o contribuție proprie de minimum 2% din valoarea totală eligibilă a proiectului.</w:t>
            </w:r>
          </w:p>
        </w:tc>
        <w:tc>
          <w:tcPr>
            <w:tcW w:w="1080" w:type="dxa"/>
            <w:tcBorders>
              <w:top w:val="single" w:sz="4" w:space="0" w:color="000000"/>
              <w:left w:val="single" w:sz="4" w:space="0" w:color="000000"/>
              <w:bottom w:val="single" w:sz="4" w:space="0" w:color="000000"/>
            </w:tcBorders>
            <w:shd w:val="clear" w:color="auto" w:fill="auto"/>
          </w:tcPr>
          <w:p w:rsidR="00FC1D2B" w:rsidRPr="00F64EE5" w:rsidRDefault="006763DB" w:rsidP="00B7416F">
            <w:pPr>
              <w:autoSpaceDE w:val="0"/>
              <w:spacing w:after="0" w:line="240" w:lineRule="auto"/>
              <w:rPr>
                <w:rFonts w:ascii="Times New Roman" w:eastAsia="Times New Roman" w:hAnsi="Times New Roman" w:cs="Times New Roman"/>
                <w:sz w:val="18"/>
                <w:szCs w:val="18"/>
                <w:lang w:val="en-US"/>
              </w:rPr>
            </w:pPr>
            <w:r w:rsidRPr="006763DB">
              <w:rPr>
                <w:rFonts w:ascii="Times New Roman" w:eastAsia="Times New Roman" w:hAnsi="Times New Roman" w:cs="Times New Roman"/>
                <w:sz w:val="18"/>
                <w:szCs w:val="18"/>
                <w:lang w:val="en-US"/>
              </w:rPr>
              <w:t>20 septembrie 2024, ora 14:00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C1D2B" w:rsidRDefault="00A83E65" w:rsidP="00B7416F">
            <w:pPr>
              <w:autoSpaceDE w:val="0"/>
              <w:spacing w:after="0" w:line="240" w:lineRule="auto"/>
            </w:pPr>
            <w:hyperlink r:id="rId14" w:history="1">
              <w:r w:rsidR="006763DB" w:rsidRPr="00B802F3">
                <w:rPr>
                  <w:rStyle w:val="Hyperlink"/>
                </w:rPr>
                <w:t>https://www.fonduri-structurale.ro/finantari/886/investitii-pentru-cabinete-de-asistenta-medicala-stomatologica-care-furnizeaza-servicii-copiilor-in-ambulatoriile-integrate-spitalelor-de-pediatrie-sau-ambulatoriile-spitalelor-publice-care-au-sectii-de-pediatrie</w:t>
              </w:r>
            </w:hyperlink>
          </w:p>
          <w:p w:rsidR="006763DB" w:rsidRDefault="006763DB" w:rsidP="00B7416F">
            <w:pPr>
              <w:autoSpaceDE w:val="0"/>
              <w:spacing w:after="0" w:line="240" w:lineRule="auto"/>
            </w:pPr>
          </w:p>
        </w:tc>
      </w:tr>
      <w:tr w:rsidR="006763D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3664BD" w:rsidRDefault="003664BD" w:rsidP="003664BD">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3664BD" w:rsidRDefault="003664BD" w:rsidP="003664BD">
            <w:pPr>
              <w:autoSpaceDE w:val="0"/>
              <w:spacing w:after="0" w:line="240" w:lineRule="auto"/>
              <w:rPr>
                <w:rFonts w:ascii="Times New Roman" w:hAnsi="Times New Roman" w:cs="Times New Roman"/>
                <w:b/>
                <w:sz w:val="18"/>
                <w:szCs w:val="18"/>
              </w:rPr>
            </w:pPr>
          </w:p>
          <w:p w:rsidR="003664BD" w:rsidRDefault="003664BD" w:rsidP="003664BD">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 xml:space="preserve">Programul Sănătate </w:t>
            </w:r>
          </w:p>
          <w:p w:rsidR="003664BD" w:rsidRDefault="003664BD" w:rsidP="003664BD">
            <w:pPr>
              <w:autoSpaceDE w:val="0"/>
              <w:spacing w:after="0" w:line="240" w:lineRule="auto"/>
              <w:rPr>
                <w:rFonts w:ascii="Times New Roman" w:hAnsi="Times New Roman" w:cs="Times New Roman"/>
                <w:b/>
                <w:sz w:val="18"/>
                <w:szCs w:val="18"/>
              </w:rPr>
            </w:pPr>
          </w:p>
          <w:p w:rsidR="006763DB" w:rsidRDefault="003664BD" w:rsidP="003664BD">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 xml:space="preserve">Investiții </w:t>
            </w:r>
            <w:r w:rsidRPr="003664BD">
              <w:rPr>
                <w:rFonts w:ascii="Times New Roman" w:hAnsi="Times New Roman" w:cs="Times New Roman"/>
                <w:b/>
                <w:sz w:val="18"/>
                <w:szCs w:val="18"/>
              </w:rPr>
              <w:t>în infrastructura publică a ambulatoriilor unităților sanitare / structurilor sanitare publice - dotare</w:t>
            </w:r>
          </w:p>
        </w:tc>
        <w:tc>
          <w:tcPr>
            <w:tcW w:w="1953" w:type="dxa"/>
            <w:tcBorders>
              <w:top w:val="single" w:sz="4" w:space="0" w:color="000000"/>
              <w:left w:val="single" w:sz="4" w:space="0" w:color="000000"/>
              <w:bottom w:val="single" w:sz="4" w:space="0" w:color="000000"/>
            </w:tcBorders>
            <w:shd w:val="clear" w:color="auto" w:fill="auto"/>
          </w:tcPr>
          <w:p w:rsidR="006763DB" w:rsidRDefault="003664BD" w:rsidP="00991AC2">
            <w:pPr>
              <w:autoSpaceDE w:val="0"/>
              <w:spacing w:after="0" w:line="240" w:lineRule="auto"/>
              <w:rPr>
                <w:rFonts w:ascii="Times New Roman" w:hAnsi="Times New Roman" w:cs="Times New Roman"/>
                <w:bCs/>
                <w:sz w:val="18"/>
                <w:szCs w:val="18"/>
              </w:rPr>
            </w:pPr>
            <w:r>
              <w:rPr>
                <w:rFonts w:ascii="Times New Roman" w:hAnsi="Times New Roman" w:cs="Times New Roman"/>
                <w:bCs/>
                <w:sz w:val="18"/>
                <w:szCs w:val="18"/>
              </w:rPr>
              <w:t>D</w:t>
            </w:r>
            <w:r w:rsidRPr="003664BD">
              <w:rPr>
                <w:rFonts w:ascii="Times New Roman" w:hAnsi="Times New Roman" w:cs="Times New Roman"/>
                <w:bCs/>
                <w:sz w:val="18"/>
                <w:szCs w:val="18"/>
              </w:rPr>
              <w:t>otarea ambulatoriilor unităților sanitare/structurilor medicale publice care desfășoară activități medicale de tip ambulatoriu/ acordă asistență medicală ambulatorie. Finanțarea principală este destinată achiziționării de echipamente și dotări necesare pentru asigurarea serviciilor medicale în regiunile mai puțin dezvoltate.</w:t>
            </w:r>
          </w:p>
        </w:tc>
        <w:tc>
          <w:tcPr>
            <w:tcW w:w="2159" w:type="dxa"/>
            <w:tcBorders>
              <w:top w:val="single" w:sz="4" w:space="0" w:color="000000"/>
              <w:left w:val="single" w:sz="4" w:space="0" w:color="000000"/>
              <w:bottom w:val="single" w:sz="4" w:space="0" w:color="000000"/>
            </w:tcBorders>
            <w:shd w:val="clear" w:color="auto" w:fill="auto"/>
          </w:tcPr>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3664BD">
              <w:rPr>
                <w:rFonts w:ascii="Times New Roman" w:hAnsi="Times New Roman" w:cs="Times New Roman"/>
                <w:sz w:val="18"/>
                <w:szCs w:val="18"/>
                <w:lang w:val="en-US"/>
              </w:rPr>
              <w:t>Unități sanitare publice/ structuri publice cu personalitate juridică care desfășoară activități medicale de tip ambulatoriu sau care acordă asistență medicală ambulatorie;</w:t>
            </w:r>
          </w:p>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3664BD">
              <w:rPr>
                <w:rFonts w:ascii="Times New Roman" w:hAnsi="Times New Roman" w:cs="Times New Roman"/>
                <w:sz w:val="18"/>
                <w:szCs w:val="18"/>
                <w:lang w:val="en-US"/>
              </w:rPr>
              <w:t>Unitățile ad</w:t>
            </w:r>
            <w:r>
              <w:rPr>
                <w:rFonts w:ascii="Times New Roman" w:hAnsi="Times New Roman" w:cs="Times New Roman"/>
                <w:sz w:val="18"/>
                <w:szCs w:val="18"/>
                <w:lang w:val="en-US"/>
              </w:rPr>
              <w:t>ministrativ-teritoriale</w:t>
            </w:r>
            <w:r w:rsidRPr="003664BD">
              <w:rPr>
                <w:rFonts w:ascii="Times New Roman" w:hAnsi="Times New Roman" w:cs="Times New Roman"/>
                <w:sz w:val="18"/>
                <w:szCs w:val="18"/>
                <w:lang w:val="en-US"/>
              </w:rPr>
              <w:t>, care au în coordonare/ subordonare/ autoritate sau dețin în administrare/ proprietate unitățile de la punctul 1);</w:t>
            </w:r>
          </w:p>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3664BD">
              <w:rPr>
                <w:rFonts w:ascii="Times New Roman" w:hAnsi="Times New Roman" w:cs="Times New Roman"/>
                <w:sz w:val="18"/>
                <w:szCs w:val="18"/>
                <w:lang w:val="en-US"/>
              </w:rPr>
              <w:t>Unitățile administrativ-teritoriale, care administrează de drept și vor pune la dispoziția parteneriatului terenuri şi clădiri în vederea realizării proiectului;</w:t>
            </w:r>
          </w:p>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3664BD">
              <w:rPr>
                <w:rFonts w:ascii="Times New Roman" w:hAnsi="Times New Roman" w:cs="Times New Roman"/>
                <w:sz w:val="18"/>
                <w:szCs w:val="18"/>
                <w:lang w:val="en-US"/>
              </w:rPr>
              <w:t xml:space="preserve">Ministerul Sănătății, alte autorități și instituții publice centrale, care au în coordonare/ subordonare/ autoritate sau dețin în administrare/ proprietate unitățile de la punctul 1); </w:t>
            </w:r>
          </w:p>
          <w:p w:rsid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5.</w:t>
            </w:r>
            <w:r w:rsidRPr="003664BD">
              <w:rPr>
                <w:rFonts w:ascii="Times New Roman" w:hAnsi="Times New Roman" w:cs="Times New Roman"/>
                <w:sz w:val="18"/>
                <w:szCs w:val="18"/>
                <w:lang w:val="en-US"/>
              </w:rPr>
              <w:t>Universități publice de medicină, pentru ambulatoriile acestora.</w:t>
            </w:r>
          </w:p>
          <w:p w:rsidR="003664BD" w:rsidRPr="003664BD" w:rsidRDefault="003664BD" w:rsidP="003664BD">
            <w:pPr>
              <w:autoSpaceDE w:val="0"/>
              <w:spacing w:after="0" w:line="240" w:lineRule="auto"/>
              <w:rPr>
                <w:rFonts w:ascii="Times New Roman" w:hAnsi="Times New Roman" w:cs="Times New Roman"/>
                <w:sz w:val="18"/>
                <w:szCs w:val="18"/>
                <w:lang w:val="en-US"/>
              </w:rPr>
            </w:pPr>
          </w:p>
          <w:p w:rsidR="003664BD" w:rsidRPr="003664BD" w:rsidRDefault="003664BD" w:rsidP="003664BD">
            <w:pPr>
              <w:autoSpaceDE w:val="0"/>
              <w:spacing w:after="0" w:line="240" w:lineRule="auto"/>
              <w:rPr>
                <w:rFonts w:ascii="Times New Roman" w:hAnsi="Times New Roman" w:cs="Times New Roman"/>
                <w:sz w:val="18"/>
                <w:szCs w:val="18"/>
                <w:lang w:val="en-US"/>
              </w:rPr>
            </w:pPr>
            <w:r w:rsidRPr="003664BD">
              <w:rPr>
                <w:rFonts w:ascii="Times New Roman" w:hAnsi="Times New Roman" w:cs="Times New Roman"/>
                <w:sz w:val="18"/>
                <w:szCs w:val="18"/>
                <w:lang w:val="en-US"/>
              </w:rPr>
              <w:t>Parteneriatele sunt eligiibile între entitățile de la punctele 1-5.</w:t>
            </w:r>
          </w:p>
          <w:p w:rsidR="003664BD" w:rsidRPr="003664BD" w:rsidRDefault="003664BD" w:rsidP="003664BD">
            <w:pPr>
              <w:autoSpaceDE w:val="0"/>
              <w:spacing w:after="0" w:line="240" w:lineRule="auto"/>
              <w:rPr>
                <w:rFonts w:ascii="Times New Roman" w:hAnsi="Times New Roman" w:cs="Times New Roman"/>
                <w:sz w:val="18"/>
                <w:szCs w:val="18"/>
                <w:lang w:val="en-US"/>
              </w:rPr>
            </w:pPr>
          </w:p>
          <w:p w:rsidR="006763DB" w:rsidRPr="006763DB" w:rsidRDefault="003664BD" w:rsidP="003664BD">
            <w:pPr>
              <w:autoSpaceDE w:val="0"/>
              <w:spacing w:after="0" w:line="240" w:lineRule="auto"/>
              <w:rPr>
                <w:rFonts w:ascii="Times New Roman" w:hAnsi="Times New Roman" w:cs="Times New Roman"/>
                <w:sz w:val="18"/>
                <w:szCs w:val="18"/>
                <w:lang w:val="en-US"/>
              </w:rPr>
            </w:pPr>
            <w:r w:rsidRPr="003664BD">
              <w:rPr>
                <w:rFonts w:ascii="Times New Roman" w:hAnsi="Times New Roman" w:cs="Times New Roman"/>
                <w:sz w:val="18"/>
                <w:szCs w:val="18"/>
                <w:lang w:val="en-US"/>
              </w:rPr>
              <w:t>Pentru solicitanții de la punctul 3 este obligatorie formarea unui parteneriat cu o unitate sanitară de la punctul 1.</w:t>
            </w:r>
          </w:p>
        </w:tc>
        <w:tc>
          <w:tcPr>
            <w:tcW w:w="4050" w:type="dxa"/>
            <w:tcBorders>
              <w:top w:val="single" w:sz="4" w:space="0" w:color="000000"/>
              <w:left w:val="single" w:sz="4" w:space="0" w:color="000000"/>
              <w:bottom w:val="single" w:sz="4" w:space="0" w:color="000000"/>
            </w:tcBorders>
            <w:shd w:val="clear" w:color="auto" w:fill="auto"/>
          </w:tcPr>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Activitățile eligibile</w:t>
            </w:r>
            <w:r>
              <w:rPr>
                <w:rFonts w:ascii="Times New Roman" w:hAnsi="Times New Roman" w:cs="Times New Roman"/>
                <w:sz w:val="20"/>
                <w:szCs w:val="20"/>
                <w:lang w:val="en-US"/>
              </w:rPr>
              <w:t>:</w:t>
            </w:r>
            <w:r w:rsidRPr="003664BD">
              <w:rPr>
                <w:rFonts w:ascii="Times New Roman" w:hAnsi="Times New Roman" w:cs="Times New Roman"/>
                <w:sz w:val="20"/>
                <w:szCs w:val="20"/>
                <w:lang w:val="en-US"/>
              </w:rPr>
              <w:t xml:space="preserve"> </w:t>
            </w:r>
          </w:p>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p>
          <w:p w:rsidR="003664BD"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Se vizează exclusiv dotarea cu echipamente a ambulatoriilor unităților sanitare publice sau structurile publice care desfășoară activități medicale de tip ambulatoriu sau care acordă asistență medicală ambulatorie, inclusiv a laboratoarelor de analize medicale și de imagistică care deservesc ambulatoriile unităților sanitare/ structurilor sanitare publice care desfășoară activități medicale de tip ambulatoriu/ acordă asistență medicală ambulatorie.</w:t>
            </w:r>
          </w:p>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p>
          <w:p w:rsidR="006763DB" w:rsidRPr="006763DB"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Dotarea cu echipamente specifice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laboratoare și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shd w:val="clear" w:color="auto" w:fill="auto"/>
          </w:tcPr>
          <w:p w:rsidR="003664BD"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Valoarea minimă eligibilă a proiectului este de 200.001 euro.</w:t>
            </w:r>
          </w:p>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p>
          <w:p w:rsidR="006763DB" w:rsidRPr="006763DB"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Valoarea maximă eligibilă a proiectului este de 3.000.000 euro.</w:t>
            </w:r>
          </w:p>
        </w:tc>
        <w:tc>
          <w:tcPr>
            <w:tcW w:w="1530" w:type="dxa"/>
            <w:tcBorders>
              <w:top w:val="single" w:sz="4" w:space="0" w:color="000000"/>
              <w:left w:val="single" w:sz="4" w:space="0" w:color="000000"/>
              <w:bottom w:val="single" w:sz="4" w:space="0" w:color="000000"/>
            </w:tcBorders>
            <w:shd w:val="clear" w:color="auto" w:fill="auto"/>
          </w:tcPr>
          <w:p w:rsidR="006763DB" w:rsidRPr="006763DB" w:rsidRDefault="003664BD" w:rsidP="00F64EE5">
            <w:pPr>
              <w:autoSpaceDE w:val="0"/>
              <w:snapToGrid w:val="0"/>
              <w:spacing w:after="0" w:line="240" w:lineRule="auto"/>
              <w:rPr>
                <w:rFonts w:ascii="Times New Roman" w:eastAsia="Times New Roman" w:hAnsi="Times New Roman" w:cs="Times New Roman"/>
                <w:sz w:val="16"/>
                <w:szCs w:val="16"/>
                <w:lang w:val="en-US"/>
              </w:rPr>
            </w:pPr>
            <w:r w:rsidRPr="003664BD">
              <w:rPr>
                <w:rFonts w:ascii="Times New Roman" w:eastAsia="Times New Roman" w:hAnsi="Times New Roman" w:cs="Times New Roman"/>
                <w:sz w:val="16"/>
                <w:szCs w:val="16"/>
                <w:lang w:val="en-US"/>
              </w:rPr>
              <w:t>Solicitantul și/sau partenerii vor asigura o cofinanțare proprie de minim 2% din valoarea totală eligibilă a proiectului.</w:t>
            </w:r>
          </w:p>
        </w:tc>
        <w:tc>
          <w:tcPr>
            <w:tcW w:w="1080" w:type="dxa"/>
            <w:tcBorders>
              <w:top w:val="single" w:sz="4" w:space="0" w:color="000000"/>
              <w:left w:val="single" w:sz="4" w:space="0" w:color="000000"/>
              <w:bottom w:val="single" w:sz="4" w:space="0" w:color="000000"/>
            </w:tcBorders>
            <w:shd w:val="clear" w:color="auto" w:fill="auto"/>
          </w:tcPr>
          <w:p w:rsidR="006763DB" w:rsidRPr="006763DB" w:rsidRDefault="003664BD" w:rsidP="00B7416F">
            <w:pPr>
              <w:autoSpaceDE w:val="0"/>
              <w:spacing w:after="0" w:line="240" w:lineRule="auto"/>
              <w:rPr>
                <w:rFonts w:ascii="Times New Roman" w:eastAsia="Times New Roman" w:hAnsi="Times New Roman" w:cs="Times New Roman"/>
                <w:sz w:val="18"/>
                <w:szCs w:val="18"/>
                <w:lang w:val="en-US"/>
              </w:rPr>
            </w:pPr>
            <w:r w:rsidRPr="003664BD">
              <w:rPr>
                <w:rFonts w:ascii="Times New Roman" w:eastAsia="Times New Roman" w:hAnsi="Times New Roman" w:cs="Times New Roman"/>
                <w:sz w:val="18"/>
                <w:szCs w:val="18"/>
                <w:lang w:val="en-US"/>
              </w:rPr>
              <w:t>30.08.2024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763DB" w:rsidRDefault="00A83E65" w:rsidP="00B7416F">
            <w:pPr>
              <w:autoSpaceDE w:val="0"/>
              <w:spacing w:after="0" w:line="240" w:lineRule="auto"/>
            </w:pPr>
            <w:hyperlink r:id="rId15" w:history="1">
              <w:r w:rsidR="003664BD" w:rsidRPr="00B802F3">
                <w:rPr>
                  <w:rStyle w:val="Hyperlink"/>
                </w:rPr>
                <w:t>https://www.fonduri-structurale.ro/finantari/871/investitii-in-infrastructura-publica-a-ambulatoriilor-unitatilor-sanitare-structurilor-sanitare-publice-dotare</w:t>
              </w:r>
            </w:hyperlink>
          </w:p>
          <w:p w:rsidR="003664BD" w:rsidRDefault="003664BD" w:rsidP="00B7416F">
            <w:pPr>
              <w:autoSpaceDE w:val="0"/>
              <w:spacing w:after="0" w:line="240" w:lineRule="auto"/>
            </w:pPr>
          </w:p>
        </w:tc>
      </w:tr>
      <w:tr w:rsidR="00B53BD0"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B53BD0" w:rsidRDefault="00B53BD0" w:rsidP="00F00F42">
            <w:pPr>
              <w:autoSpaceDE w:val="0"/>
              <w:spacing w:after="0" w:line="240" w:lineRule="auto"/>
            </w:pPr>
            <w:r>
              <w:rPr>
                <w:rFonts w:ascii="Times New Roman" w:hAnsi="Times New Roman" w:cs="Times New Roman"/>
                <w:b/>
                <w:sz w:val="18"/>
                <w:szCs w:val="18"/>
              </w:rPr>
              <w:lastRenderedPageBreak/>
              <w:t>Uniunea</w:t>
            </w:r>
          </w:p>
          <w:p w:rsidR="00B53BD0" w:rsidRDefault="00B53BD0" w:rsidP="00F00F42">
            <w:pPr>
              <w:autoSpaceDE w:val="0"/>
              <w:spacing w:after="0" w:line="240" w:lineRule="auto"/>
            </w:pPr>
            <w:r>
              <w:rPr>
                <w:rFonts w:ascii="Times New Roman" w:hAnsi="Times New Roman" w:cs="Times New Roman"/>
                <w:b/>
                <w:sz w:val="18"/>
                <w:szCs w:val="18"/>
              </w:rPr>
              <w:t>Europeană și</w:t>
            </w:r>
          </w:p>
          <w:p w:rsidR="00B53BD0" w:rsidRDefault="00B53BD0" w:rsidP="00F00F42">
            <w:pPr>
              <w:autoSpaceDE w:val="0"/>
              <w:spacing w:after="0" w:line="240" w:lineRule="auto"/>
            </w:pPr>
            <w:r>
              <w:rPr>
                <w:rFonts w:ascii="Times New Roman" w:hAnsi="Times New Roman" w:cs="Times New Roman"/>
                <w:b/>
                <w:sz w:val="18"/>
                <w:szCs w:val="18"/>
              </w:rPr>
              <w:t>Guvernul</w:t>
            </w:r>
          </w:p>
          <w:p w:rsidR="00B53BD0" w:rsidRDefault="00B53BD0" w:rsidP="00F00F42">
            <w:pPr>
              <w:autoSpaceDE w:val="0"/>
              <w:spacing w:after="0" w:line="240" w:lineRule="auto"/>
            </w:pPr>
            <w:r>
              <w:rPr>
                <w:rFonts w:ascii="Times New Roman" w:hAnsi="Times New Roman" w:cs="Times New Roman"/>
                <w:b/>
                <w:sz w:val="18"/>
                <w:szCs w:val="18"/>
              </w:rPr>
              <w:t>României</w:t>
            </w:r>
          </w:p>
          <w:p w:rsidR="00B53BD0" w:rsidRDefault="00B53BD0" w:rsidP="00F00F42">
            <w:pPr>
              <w:autoSpaceDE w:val="0"/>
              <w:spacing w:after="0" w:line="240" w:lineRule="auto"/>
            </w:pPr>
          </w:p>
          <w:p w:rsidR="00B53BD0" w:rsidRDefault="00B53BD0" w:rsidP="00F00F42">
            <w:pPr>
              <w:autoSpaceDE w:val="0"/>
              <w:spacing w:after="0" w:line="240" w:lineRule="auto"/>
              <w:rPr>
                <w:rFonts w:ascii="Times New Roman" w:hAnsi="Times New Roman" w:cs="Times New Roman"/>
                <w:b/>
                <w:sz w:val="18"/>
                <w:szCs w:val="18"/>
              </w:rPr>
            </w:pPr>
            <w:r w:rsidRPr="00B53BD0">
              <w:rPr>
                <w:rFonts w:ascii="Times New Roman" w:hAnsi="Times New Roman" w:cs="Times New Roman"/>
                <w:b/>
                <w:sz w:val="18"/>
                <w:szCs w:val="18"/>
              </w:rPr>
              <w:t xml:space="preserve">Dotarea cu laboratoare de informatică și ateliere de practică a unităţilor de învăţământ din rețeaua învățământului profesional și tehnic - Runda a II-a </w:t>
            </w:r>
            <w:r>
              <w:rPr>
                <w:rFonts w:ascii="Times New Roman" w:hAnsi="Times New Roman" w:cs="Times New Roman"/>
                <w:b/>
                <w:sz w:val="18"/>
                <w:szCs w:val="18"/>
              </w:rPr>
              <w:t>(</w:t>
            </w:r>
            <w:r w:rsidRPr="009A546C">
              <w:rPr>
                <w:rFonts w:ascii="Times New Roman" w:hAnsi="Times New Roman" w:cs="Times New Roman"/>
                <w:b/>
                <w:sz w:val="18"/>
                <w:szCs w:val="18"/>
              </w:rPr>
              <w:t>Planul Național de Redre</w:t>
            </w:r>
            <w:r>
              <w:rPr>
                <w:rFonts w:ascii="Times New Roman" w:hAnsi="Times New Roman" w:cs="Times New Roman"/>
                <w:b/>
                <w:sz w:val="18"/>
                <w:szCs w:val="18"/>
              </w:rPr>
              <w:t>sare și Reziliență al României –</w:t>
            </w:r>
            <w:r w:rsidRPr="009A546C">
              <w:rPr>
                <w:rFonts w:ascii="Times New Roman" w:hAnsi="Times New Roman" w:cs="Times New Roman"/>
                <w:b/>
                <w:sz w:val="18"/>
                <w:szCs w:val="18"/>
              </w:rPr>
              <w:t>PNRR</w:t>
            </w:r>
            <w:r>
              <w:rPr>
                <w:rFonts w:ascii="Times New Roman" w:hAnsi="Times New Roman" w:cs="Times New Roman"/>
                <w:b/>
                <w:sz w:val="18"/>
                <w:szCs w:val="18"/>
              </w:rPr>
              <w:t>, Componenta 1, I3.</w:t>
            </w:r>
            <w:r w:rsidRPr="009A546C">
              <w:rPr>
                <w:rFonts w:ascii="Times New Roman" w:hAnsi="Times New Roman" w:cs="Times New Roman"/>
                <w:b/>
                <w:sz w:val="18"/>
                <w:szCs w:val="18"/>
              </w:rPr>
              <w:t>)</w:t>
            </w:r>
          </w:p>
          <w:p w:rsidR="00B53BD0" w:rsidRDefault="00B53BD0" w:rsidP="00F00F42">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B53BD0" w:rsidRPr="00B53BD0" w:rsidRDefault="00B53BD0" w:rsidP="00F00F42">
            <w:pPr>
              <w:autoSpaceDE w:val="0"/>
              <w:spacing w:after="0" w:line="240" w:lineRule="auto"/>
              <w:rPr>
                <w:rFonts w:ascii="Times New Roman" w:eastAsia="Times New Roman" w:hAnsi="Times New Roman" w:cs="Times New Roman"/>
                <w:sz w:val="20"/>
                <w:szCs w:val="20"/>
                <w:lang w:val="en-US"/>
              </w:rPr>
            </w:pPr>
            <w:r w:rsidRPr="00B53BD0">
              <w:rPr>
                <w:rFonts w:ascii="Times New Roman" w:eastAsia="Times New Roman" w:hAnsi="Times New Roman" w:cs="Times New Roman"/>
                <w:sz w:val="20"/>
                <w:szCs w:val="20"/>
                <w:lang w:val="en-US"/>
              </w:rPr>
              <w:t>Apelul de proiecte finanțează dotarea laboratoarelor de informatică și a atelierelor de practică din unitățile de învățământ profesional și tehnic, în cadrul Proiectului Național de Redresare și Reziliență, pentru a sprijini dezvoltarea unei rute profesionale complete în învățământul tehnic superior.</w:t>
            </w:r>
          </w:p>
          <w:p w:rsidR="00B53BD0" w:rsidRPr="00902921" w:rsidRDefault="00B53BD0" w:rsidP="00F00F42">
            <w:pPr>
              <w:autoSpaceDE w:val="0"/>
              <w:spacing w:after="0" w:line="240" w:lineRule="auto"/>
              <w:rPr>
                <w:rFonts w:ascii="Times New Roman" w:eastAsia="Times New Roman" w:hAnsi="Times New Roman" w:cs="Times New Roman"/>
                <w:sz w:val="16"/>
                <w:szCs w:val="16"/>
                <w:lang w:val="en-US"/>
              </w:rPr>
            </w:pPr>
          </w:p>
        </w:tc>
        <w:tc>
          <w:tcPr>
            <w:tcW w:w="2159" w:type="dxa"/>
            <w:tcBorders>
              <w:top w:val="single" w:sz="4" w:space="0" w:color="000000"/>
              <w:left w:val="single" w:sz="4" w:space="0" w:color="000000"/>
              <w:bottom w:val="single" w:sz="4" w:space="0" w:color="000000"/>
            </w:tcBorders>
            <w:shd w:val="clear" w:color="auto" w:fill="auto"/>
          </w:tcPr>
          <w:p w:rsidR="00B53BD0" w:rsidRPr="00B53BD0" w:rsidRDefault="00B53BD0" w:rsidP="00B53BD0">
            <w:pPr>
              <w:autoSpaceDE w:val="0"/>
              <w:spacing w:after="0" w:line="240" w:lineRule="auto"/>
              <w:rPr>
                <w:rFonts w:ascii="Times New Roman" w:hAnsi="Times New Roman" w:cs="Times New Roman"/>
                <w:sz w:val="20"/>
                <w:szCs w:val="20"/>
                <w:lang w:val="en-US"/>
              </w:rPr>
            </w:pPr>
            <w:r w:rsidRPr="00B53BD0">
              <w:rPr>
                <w:rFonts w:ascii="Times New Roman" w:hAnsi="Times New Roman" w:cs="Times New Roman"/>
                <w:sz w:val="20"/>
                <w:szCs w:val="20"/>
                <w:lang w:val="en-US"/>
              </w:rPr>
              <w:t>Unitățile de învățământ preuniversitar de stat acreditate din rețeaua IPT</w:t>
            </w:r>
          </w:p>
          <w:p w:rsidR="00B53BD0" w:rsidRPr="00B53BD0" w:rsidRDefault="00B53BD0" w:rsidP="00B53BD0">
            <w:pPr>
              <w:autoSpaceDE w:val="0"/>
              <w:spacing w:after="0" w:line="240" w:lineRule="auto"/>
              <w:rPr>
                <w:rFonts w:ascii="Times New Roman" w:hAnsi="Times New Roman" w:cs="Times New Roman"/>
                <w:sz w:val="20"/>
                <w:szCs w:val="20"/>
                <w:lang w:val="en-US"/>
              </w:rPr>
            </w:pPr>
            <w:r w:rsidRPr="00B53BD0">
              <w:rPr>
                <w:rFonts w:ascii="Times New Roman" w:hAnsi="Times New Roman" w:cs="Times New Roman"/>
                <w:sz w:val="20"/>
                <w:szCs w:val="20"/>
                <w:lang w:val="en-US"/>
              </w:rPr>
              <w:t>Toate tipurile de unități administrativ-teritoriale (comune, orașe, municipii, sectoare ale Municipiului București și județe).</w:t>
            </w:r>
          </w:p>
          <w:p w:rsidR="00B53BD0" w:rsidRPr="00B53BD0" w:rsidRDefault="00B53BD0" w:rsidP="00B53BD0">
            <w:pPr>
              <w:autoSpaceDE w:val="0"/>
              <w:spacing w:after="0" w:line="240" w:lineRule="auto"/>
              <w:rPr>
                <w:rFonts w:ascii="Times New Roman" w:hAnsi="Times New Roman" w:cs="Times New Roman"/>
                <w:sz w:val="20"/>
                <w:szCs w:val="20"/>
                <w:lang w:val="en-US"/>
              </w:rPr>
            </w:pPr>
          </w:p>
          <w:p w:rsid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20"/>
                <w:szCs w:val="20"/>
                <w:lang w:val="en-US"/>
              </w:rPr>
              <w:t>Unitățile administrativ-teritoriale pot delega depunerea aplicațiilor de finanțare către alte unități administrativ-teritoriale, în baza autonomiei locale. Unitățile administrativ teritoriale care au primit delegarea depunerii aplicațiilor de finanțare de la alte unități administrativ teritoriale trebuie să specifice în cererea de finanțare UAT-urile de la care au primit delegare, precum și unitățile de învățământ preuniversitar beneficiare.</w:t>
            </w:r>
          </w:p>
        </w:tc>
        <w:tc>
          <w:tcPr>
            <w:tcW w:w="4050" w:type="dxa"/>
            <w:tcBorders>
              <w:top w:val="single" w:sz="4" w:space="0" w:color="000000"/>
              <w:left w:val="single" w:sz="4" w:space="0" w:color="000000"/>
              <w:bottom w:val="single" w:sz="4" w:space="0" w:color="000000"/>
            </w:tcBorders>
            <w:shd w:val="clear" w:color="auto" w:fill="auto"/>
          </w:tcPr>
          <w:p w:rsidR="00B53BD0" w:rsidRPr="00B53BD0" w:rsidRDefault="00B53BD0" w:rsidP="00B53BD0">
            <w:pPr>
              <w:autoSpaceDE w:val="0"/>
              <w:snapToGrid w:val="0"/>
              <w:spacing w:after="0" w:line="240" w:lineRule="auto"/>
              <w:rPr>
                <w:rFonts w:ascii="Times New Roman" w:hAnsi="Times New Roman" w:cs="Times New Roman"/>
                <w:sz w:val="20"/>
                <w:szCs w:val="20"/>
                <w:lang w:val="en-US"/>
              </w:rPr>
            </w:pPr>
            <w:r w:rsidRPr="00B53BD0">
              <w:rPr>
                <w:rFonts w:ascii="Times New Roman" w:hAnsi="Times New Roman" w:cs="Times New Roman"/>
                <w:sz w:val="20"/>
                <w:szCs w:val="20"/>
                <w:lang w:val="en-US"/>
              </w:rPr>
              <w:t>În cadrul acestui apel vor fi susținute două linii majore de investiție, respectiv dotarea laboratoarelor de informatică și a atelierelor de practică din unitățile de învățământ profesional și tehnic de stat.</w:t>
            </w:r>
          </w:p>
          <w:p w:rsidR="00B53BD0" w:rsidRDefault="00B53BD0" w:rsidP="00B53BD0">
            <w:pPr>
              <w:autoSpaceDE w:val="0"/>
              <w:snapToGrid w:val="0"/>
              <w:spacing w:after="0" w:line="240" w:lineRule="auto"/>
              <w:rPr>
                <w:rFonts w:ascii="Times New Roman" w:hAnsi="Times New Roman" w:cs="Times New Roman"/>
                <w:sz w:val="20"/>
                <w:szCs w:val="20"/>
                <w:lang w:val="en-US"/>
              </w:rPr>
            </w:pPr>
            <w:r w:rsidRPr="00B53BD0">
              <w:rPr>
                <w:rFonts w:ascii="Times New Roman" w:hAnsi="Times New Roman" w:cs="Times New Roman"/>
                <w:sz w:val="20"/>
                <w:szCs w:val="20"/>
                <w:lang w:val="en-US"/>
              </w:rPr>
              <w:t>Produsele care vor face obiectul achizițiilor pentru dotările atelierelor de practică din învățământul preuniversitar vor fi calitative, moderne, adaptate vârstei elevilor și profilului de formare, astfel încât să fie creat un mediu de lucru plăcut, sănătos și care să contribuie la formarea competențelor necesare pentru piața muncii.</w:t>
            </w:r>
          </w:p>
          <w:p w:rsidR="00B53BD0" w:rsidRPr="00B53BD0" w:rsidRDefault="00B53BD0" w:rsidP="00B53BD0">
            <w:pPr>
              <w:autoSpaceDE w:val="0"/>
              <w:snapToGrid w:val="0"/>
              <w:spacing w:after="0" w:line="240" w:lineRule="auto"/>
              <w:rPr>
                <w:rFonts w:ascii="Times New Roman" w:hAnsi="Times New Roman" w:cs="Times New Roman"/>
                <w:sz w:val="20"/>
                <w:szCs w:val="20"/>
                <w:lang w:val="en-US"/>
              </w:rPr>
            </w:pPr>
          </w:p>
          <w:p w:rsidR="00B53BD0" w:rsidRDefault="00B53BD0" w:rsidP="00B53BD0">
            <w:pPr>
              <w:autoSpaceDE w:val="0"/>
              <w:snapToGrid w:val="0"/>
              <w:spacing w:after="0" w:line="240" w:lineRule="auto"/>
              <w:rPr>
                <w:rFonts w:ascii="Times New Roman" w:hAnsi="Times New Roman" w:cs="Times New Roman"/>
                <w:sz w:val="20"/>
                <w:szCs w:val="20"/>
                <w:lang w:val="en-US"/>
              </w:rPr>
            </w:pPr>
            <w:r w:rsidRPr="00B53BD0">
              <w:rPr>
                <w:rFonts w:ascii="Times New Roman" w:hAnsi="Times New Roman" w:cs="Times New Roman"/>
                <w:sz w:val="20"/>
                <w:szCs w:val="20"/>
                <w:lang w:val="en-US"/>
              </w:rPr>
              <w:t>Unitățile de învățământ profesional și tehnic vor fi dotate cu materiale și instrumente digitale pentru predare. Specificațiile tehnice ale echipamentelor IT recomandate pentru elaborarea caietelor de sarcini în anexele ghidului sunt minime, ele reprezentând nivelul de la care este indicat să se pornească atunci când vor fi inițiate achizițiile, astfel încât investițiile făcute sa aibă un impact durabil.</w:t>
            </w:r>
          </w:p>
          <w:p w:rsidR="00B53BD0" w:rsidRDefault="00B53BD0" w:rsidP="00B53BD0">
            <w:pPr>
              <w:autoSpaceDE w:val="0"/>
              <w:snapToGrid w:val="0"/>
              <w:spacing w:after="0" w:line="240" w:lineRule="auto"/>
              <w:rPr>
                <w:rFonts w:ascii="Times New Roman" w:hAnsi="Times New Roman" w:cs="Times New Roman"/>
                <w:sz w:val="20"/>
                <w:szCs w:val="20"/>
                <w:lang w:val="en-US"/>
              </w:rPr>
            </w:pPr>
          </w:p>
          <w:p w:rsidR="00B53BD0" w:rsidRDefault="00B53BD0" w:rsidP="00B53BD0">
            <w:pPr>
              <w:autoSpaceDE w:val="0"/>
              <w:snapToGrid w:val="0"/>
              <w:spacing w:after="0" w:line="240" w:lineRule="auto"/>
              <w:rPr>
                <w:rFonts w:ascii="Times New Roman" w:hAnsi="Times New Roman" w:cs="Times New Roman"/>
                <w:sz w:val="20"/>
                <w:szCs w:val="20"/>
                <w:lang w:val="en-US"/>
              </w:rPr>
            </w:pPr>
          </w:p>
          <w:p w:rsidR="00B53BD0" w:rsidRDefault="00B53BD0" w:rsidP="00B53BD0">
            <w:pPr>
              <w:autoSpaceDE w:val="0"/>
              <w:snapToGrid w:val="0"/>
              <w:spacing w:after="0" w:line="240" w:lineRule="auto"/>
              <w:rPr>
                <w:rFonts w:ascii="Times New Roman" w:hAnsi="Times New Roman" w:cs="Times New Roman"/>
                <w:sz w:val="20"/>
                <w:szCs w:val="20"/>
                <w:lang w:val="en-US"/>
              </w:rPr>
            </w:pPr>
            <w:r w:rsidRPr="00B53BD0">
              <w:rPr>
                <w:rFonts w:ascii="Times New Roman" w:hAnsi="Times New Roman" w:cs="Times New Roman"/>
                <w:sz w:val="20"/>
                <w:szCs w:val="20"/>
                <w:lang w:val="en-US"/>
              </w:rPr>
              <w:t>În consecință, prin prezentul apel, vor putea fi achiziționate echipamente TIC, altele decât cele existente, sau în completarea celor existente prin raportare la numărul de beneficiari direcți.</w:t>
            </w:r>
          </w:p>
        </w:tc>
        <w:tc>
          <w:tcPr>
            <w:tcW w:w="1620" w:type="dxa"/>
            <w:tcBorders>
              <w:top w:val="single" w:sz="4" w:space="0" w:color="000000"/>
              <w:left w:val="single" w:sz="4" w:space="0" w:color="000000"/>
              <w:bottom w:val="single" w:sz="4" w:space="0" w:color="000000"/>
            </w:tcBorders>
            <w:shd w:val="clear" w:color="auto" w:fill="auto"/>
          </w:tcPr>
          <w:p w:rsidR="00B53BD0" w:rsidRP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Valoarea maximă a unui grant se stabilește în funcție de nevoile școlii, în raport de numărul structurilor arondate sau în raport cu numărul de elevi.</w:t>
            </w:r>
          </w:p>
          <w:p w:rsidR="00B53BD0" w:rsidRPr="00B53BD0" w:rsidRDefault="00B53BD0" w:rsidP="00B53BD0">
            <w:pPr>
              <w:autoSpaceDE w:val="0"/>
              <w:spacing w:after="0" w:line="240" w:lineRule="auto"/>
              <w:rPr>
                <w:rFonts w:ascii="Times New Roman" w:hAnsi="Times New Roman" w:cs="Times New Roman"/>
                <w:sz w:val="16"/>
                <w:szCs w:val="16"/>
                <w:lang w:val="en-US"/>
              </w:rPr>
            </w:pPr>
          </w:p>
          <w:p w:rsidR="00B53BD0" w:rsidRP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Indicatorii apelului de proiect</w:t>
            </w:r>
          </w:p>
          <w:p w:rsidR="00B53BD0" w:rsidRPr="00B53BD0" w:rsidRDefault="00B53BD0" w:rsidP="00B53BD0">
            <w:pPr>
              <w:autoSpaceDE w:val="0"/>
              <w:spacing w:after="0" w:line="240" w:lineRule="auto"/>
              <w:rPr>
                <w:rFonts w:ascii="Times New Roman" w:hAnsi="Times New Roman" w:cs="Times New Roman"/>
                <w:sz w:val="16"/>
                <w:szCs w:val="16"/>
                <w:lang w:val="en-US"/>
              </w:rPr>
            </w:pPr>
          </w:p>
          <w:p w:rsidR="00B53BD0" w:rsidRP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Laborator de informatică (UIP din rețeaua IPT) - Cost unitar maxim/tip investiție Euro, fără TVA: 18.000 euro</w:t>
            </w:r>
          </w:p>
          <w:p w:rsidR="00B53BD0" w:rsidRP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Atelier de practică (UIP din rețeaua IPT) - Cost unitar maxim/tip investiție Euro, fără TVA:</w:t>
            </w:r>
          </w:p>
          <w:p w:rsidR="00B53BD0" w:rsidRP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Materiale și echipamente de specialitate pentru dotarea atelierelor de practică/ unitate de din</w:t>
            </w:r>
          </w:p>
          <w:p w:rsidR="00B53BD0" w:rsidRPr="00B53BD0"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rețeaua IPT, în conformitate cu precizările din Standardele de pregătire profesională în vigoare, asociate calificărilor profesionale școlarizate - 66.997 euro</w:t>
            </w:r>
          </w:p>
          <w:p w:rsidR="00B53BD0" w:rsidRPr="004725A4" w:rsidRDefault="00B53BD0" w:rsidP="00B53BD0">
            <w:pPr>
              <w:autoSpaceDE w:val="0"/>
              <w:spacing w:after="0" w:line="240" w:lineRule="auto"/>
              <w:rPr>
                <w:rFonts w:ascii="Times New Roman" w:hAnsi="Times New Roman" w:cs="Times New Roman"/>
                <w:sz w:val="16"/>
                <w:szCs w:val="16"/>
                <w:lang w:val="en-US"/>
              </w:rPr>
            </w:pPr>
            <w:r w:rsidRPr="00B53BD0">
              <w:rPr>
                <w:rFonts w:ascii="Times New Roman" w:hAnsi="Times New Roman" w:cs="Times New Roman"/>
                <w:sz w:val="16"/>
                <w:szCs w:val="16"/>
                <w:lang w:val="en-US"/>
              </w:rPr>
              <w:t>Echipamente digitale pentru dotarea atelierelor de practică/ unitate de învățământ IPT din rețeaua IPT - 33.003 euro.</w:t>
            </w:r>
          </w:p>
        </w:tc>
        <w:tc>
          <w:tcPr>
            <w:tcW w:w="1530" w:type="dxa"/>
            <w:tcBorders>
              <w:top w:val="single" w:sz="4" w:space="0" w:color="000000"/>
              <w:left w:val="single" w:sz="4" w:space="0" w:color="000000"/>
              <w:bottom w:val="single" w:sz="4" w:space="0" w:color="000000"/>
            </w:tcBorders>
            <w:shd w:val="clear" w:color="auto" w:fill="auto"/>
          </w:tcPr>
          <w:p w:rsidR="00B53BD0" w:rsidRPr="004725A4" w:rsidRDefault="00B53BD0" w:rsidP="00F00F42">
            <w:pPr>
              <w:autoSpaceDE w:val="0"/>
              <w:snapToGrid w:val="0"/>
              <w:spacing w:after="0" w:line="240" w:lineRule="auto"/>
            </w:pPr>
            <w:r w:rsidRPr="00B53BD0">
              <w:t>Autoritățile publice locale pot cofinanța investițiile din cererile de finanțare, dar cofinanțarea nu este eligibilă din PNRR și nu se va deconta din bugetul proiectului.</w:t>
            </w:r>
          </w:p>
        </w:tc>
        <w:tc>
          <w:tcPr>
            <w:tcW w:w="1080" w:type="dxa"/>
            <w:tcBorders>
              <w:top w:val="single" w:sz="4" w:space="0" w:color="000000"/>
              <w:left w:val="single" w:sz="4" w:space="0" w:color="000000"/>
              <w:bottom w:val="single" w:sz="4" w:space="0" w:color="000000"/>
            </w:tcBorders>
            <w:shd w:val="clear" w:color="auto" w:fill="auto"/>
          </w:tcPr>
          <w:p w:rsidR="00B53BD0" w:rsidRDefault="00B53BD0" w:rsidP="00F00F42">
            <w:pPr>
              <w:autoSpaceDE w:val="0"/>
              <w:spacing w:after="0" w:line="240" w:lineRule="auto"/>
              <w:rPr>
                <w:rFonts w:ascii="Times New Roman" w:hAnsi="Times New Roman" w:cs="Times New Roman"/>
                <w:b/>
                <w:sz w:val="18"/>
                <w:szCs w:val="18"/>
              </w:rPr>
            </w:pPr>
            <w:r w:rsidRPr="00B53BD0">
              <w:rPr>
                <w:rFonts w:ascii="Times New Roman" w:hAnsi="Times New Roman" w:cs="Times New Roman"/>
                <w:sz w:val="18"/>
                <w:szCs w:val="18"/>
              </w:rPr>
              <w:t>27.09.2024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B53BD0" w:rsidRDefault="00B53BD0" w:rsidP="00F00F42">
            <w:pPr>
              <w:autoSpaceDE w:val="0"/>
              <w:spacing w:after="0" w:line="240" w:lineRule="auto"/>
            </w:pPr>
            <w:hyperlink r:id="rId16" w:history="1">
              <w:r w:rsidRPr="00CB3961">
                <w:rPr>
                  <w:rStyle w:val="Hyperlink"/>
                </w:rPr>
                <w:t>https://www.fonduri-structurale.ro/finantari/901/dotarea-cu-laboratoare-de-informatica-si-ateliere-de-practica-a-unitatilor-de-invatamant-din-reteaua-invatamantului-profesional-si-tehnic-runda-a-ii-a</w:t>
              </w:r>
            </w:hyperlink>
          </w:p>
          <w:p w:rsidR="00B53BD0" w:rsidRDefault="00B53BD0" w:rsidP="00F00F42">
            <w:pPr>
              <w:autoSpaceDE w:val="0"/>
              <w:spacing w:after="0" w:line="240" w:lineRule="auto"/>
            </w:pPr>
          </w:p>
          <w:p w:rsidR="00B53BD0" w:rsidRDefault="00B53BD0" w:rsidP="00F00F42">
            <w:pPr>
              <w:autoSpaceDE w:val="0"/>
              <w:spacing w:after="0" w:line="240" w:lineRule="auto"/>
            </w:pPr>
          </w:p>
        </w:tc>
      </w:tr>
    </w:tbl>
    <w:p w:rsidR="00666700" w:rsidRDefault="00666700" w:rsidP="00F746E3"/>
    <w:sectPr w:rsidR="00666700" w:rsidSect="007B3C58">
      <w:headerReference w:type="default" r:id="rId17"/>
      <w:footerReference w:type="default" r:id="rId18"/>
      <w:headerReference w:type="first" r:id="rId19"/>
      <w:footerReference w:type="first" r:id="rId20"/>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12" w:rsidRDefault="00565412">
      <w:pPr>
        <w:spacing w:after="0" w:line="240" w:lineRule="auto"/>
      </w:pPr>
      <w:r>
        <w:separator/>
      </w:r>
    </w:p>
  </w:endnote>
  <w:endnote w:type="continuationSeparator" w:id="1">
    <w:p w:rsidR="00565412" w:rsidRDefault="00565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A83E65">
      <w:rPr>
        <w:rFonts w:cs="Arial"/>
        <w:sz w:val="17"/>
        <w:szCs w:val="17"/>
      </w:rPr>
      <w:fldChar w:fldCharType="begin"/>
    </w:r>
    <w:r>
      <w:rPr>
        <w:rFonts w:cs="Arial"/>
        <w:sz w:val="17"/>
        <w:szCs w:val="17"/>
      </w:rPr>
      <w:instrText xml:space="preserve"> PAGE </w:instrText>
    </w:r>
    <w:r w:rsidR="00A83E65">
      <w:rPr>
        <w:rFonts w:cs="Arial"/>
        <w:sz w:val="17"/>
        <w:szCs w:val="17"/>
      </w:rPr>
      <w:fldChar w:fldCharType="separate"/>
    </w:r>
    <w:r w:rsidR="00B53BD0">
      <w:rPr>
        <w:rFonts w:cs="Arial"/>
        <w:noProof/>
        <w:sz w:val="17"/>
        <w:szCs w:val="17"/>
      </w:rPr>
      <w:t>10</w:t>
    </w:r>
    <w:r w:rsidR="00A83E65">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12" w:rsidRDefault="00565412">
      <w:pPr>
        <w:spacing w:after="0" w:line="240" w:lineRule="auto"/>
      </w:pPr>
      <w:r>
        <w:separator/>
      </w:r>
    </w:p>
  </w:footnote>
  <w:footnote w:type="continuationSeparator" w:id="1">
    <w:p w:rsidR="00565412" w:rsidRDefault="00565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bidi="he-IL"/>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8"/>
  </w:num>
  <w:num w:numId="6">
    <w:abstractNumId w:val="6"/>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4034"/>
  </w:hdrShapeDefaults>
  <w:footnotePr>
    <w:footnote w:id="0"/>
    <w:footnote w:id="1"/>
  </w:footnotePr>
  <w:endnotePr>
    <w:endnote w:id="0"/>
    <w:endnote w:id="1"/>
  </w:endnotePr>
  <w:compat/>
  <w:rsids>
    <w:rsidRoot w:val="00B829DC"/>
    <w:rsid w:val="00012581"/>
    <w:rsid w:val="00037B02"/>
    <w:rsid w:val="000613B6"/>
    <w:rsid w:val="00077435"/>
    <w:rsid w:val="00092CAA"/>
    <w:rsid w:val="0009787E"/>
    <w:rsid w:val="000B17BF"/>
    <w:rsid w:val="000C072F"/>
    <w:rsid w:val="000C5944"/>
    <w:rsid w:val="000C6232"/>
    <w:rsid w:val="000D156B"/>
    <w:rsid w:val="000D680C"/>
    <w:rsid w:val="000E3C01"/>
    <w:rsid w:val="000F105D"/>
    <w:rsid w:val="000F39C6"/>
    <w:rsid w:val="00100066"/>
    <w:rsid w:val="00103A9B"/>
    <w:rsid w:val="0013434D"/>
    <w:rsid w:val="0014556E"/>
    <w:rsid w:val="00154427"/>
    <w:rsid w:val="001751C1"/>
    <w:rsid w:val="00175820"/>
    <w:rsid w:val="00194D64"/>
    <w:rsid w:val="001959C6"/>
    <w:rsid w:val="001967BB"/>
    <w:rsid w:val="001C5575"/>
    <w:rsid w:val="001F2B97"/>
    <w:rsid w:val="00203D96"/>
    <w:rsid w:val="0023185D"/>
    <w:rsid w:val="00252215"/>
    <w:rsid w:val="002702B1"/>
    <w:rsid w:val="00293673"/>
    <w:rsid w:val="002A5D9B"/>
    <w:rsid w:val="002A5F60"/>
    <w:rsid w:val="002D42D3"/>
    <w:rsid w:val="003118F4"/>
    <w:rsid w:val="003225BE"/>
    <w:rsid w:val="00322824"/>
    <w:rsid w:val="00323671"/>
    <w:rsid w:val="0032560E"/>
    <w:rsid w:val="00334178"/>
    <w:rsid w:val="00364EBC"/>
    <w:rsid w:val="003664BD"/>
    <w:rsid w:val="00373EAF"/>
    <w:rsid w:val="00384659"/>
    <w:rsid w:val="003E4071"/>
    <w:rsid w:val="003E4B67"/>
    <w:rsid w:val="003F750E"/>
    <w:rsid w:val="00412E5B"/>
    <w:rsid w:val="004150B7"/>
    <w:rsid w:val="00425E22"/>
    <w:rsid w:val="004277C6"/>
    <w:rsid w:val="00444F49"/>
    <w:rsid w:val="0045294B"/>
    <w:rsid w:val="00467D9A"/>
    <w:rsid w:val="004721D0"/>
    <w:rsid w:val="00473166"/>
    <w:rsid w:val="0047438F"/>
    <w:rsid w:val="00481A35"/>
    <w:rsid w:val="004A6059"/>
    <w:rsid w:val="004B4D59"/>
    <w:rsid w:val="0050176C"/>
    <w:rsid w:val="0051025D"/>
    <w:rsid w:val="00513401"/>
    <w:rsid w:val="00515311"/>
    <w:rsid w:val="0053482E"/>
    <w:rsid w:val="00542C19"/>
    <w:rsid w:val="00552CE0"/>
    <w:rsid w:val="00555EAF"/>
    <w:rsid w:val="00556690"/>
    <w:rsid w:val="00565412"/>
    <w:rsid w:val="00574E9E"/>
    <w:rsid w:val="005A7381"/>
    <w:rsid w:val="005C158B"/>
    <w:rsid w:val="005C55A1"/>
    <w:rsid w:val="005D5269"/>
    <w:rsid w:val="005D5FE4"/>
    <w:rsid w:val="005E1DE4"/>
    <w:rsid w:val="005F5F6C"/>
    <w:rsid w:val="005F6C02"/>
    <w:rsid w:val="00607369"/>
    <w:rsid w:val="00635AB3"/>
    <w:rsid w:val="00642E6B"/>
    <w:rsid w:val="0064661F"/>
    <w:rsid w:val="00655ADF"/>
    <w:rsid w:val="00656E04"/>
    <w:rsid w:val="00666700"/>
    <w:rsid w:val="006706CC"/>
    <w:rsid w:val="00674C8A"/>
    <w:rsid w:val="006763DB"/>
    <w:rsid w:val="00677E6D"/>
    <w:rsid w:val="00684EBC"/>
    <w:rsid w:val="00685675"/>
    <w:rsid w:val="006856C8"/>
    <w:rsid w:val="00690BFC"/>
    <w:rsid w:val="006B20EF"/>
    <w:rsid w:val="006E09DD"/>
    <w:rsid w:val="006E5C5E"/>
    <w:rsid w:val="006E68D0"/>
    <w:rsid w:val="006E7D0E"/>
    <w:rsid w:val="00700345"/>
    <w:rsid w:val="00701B60"/>
    <w:rsid w:val="00731AE9"/>
    <w:rsid w:val="0073325D"/>
    <w:rsid w:val="00735812"/>
    <w:rsid w:val="00755DBB"/>
    <w:rsid w:val="00757780"/>
    <w:rsid w:val="00762A48"/>
    <w:rsid w:val="0077147A"/>
    <w:rsid w:val="00773477"/>
    <w:rsid w:val="007744AA"/>
    <w:rsid w:val="00795942"/>
    <w:rsid w:val="007B1828"/>
    <w:rsid w:val="007B3C58"/>
    <w:rsid w:val="007C69C8"/>
    <w:rsid w:val="00815A51"/>
    <w:rsid w:val="00817AA3"/>
    <w:rsid w:val="00822E74"/>
    <w:rsid w:val="00840481"/>
    <w:rsid w:val="00871A5A"/>
    <w:rsid w:val="00877274"/>
    <w:rsid w:val="008910BC"/>
    <w:rsid w:val="0089413B"/>
    <w:rsid w:val="008B178F"/>
    <w:rsid w:val="008B2B18"/>
    <w:rsid w:val="008B3268"/>
    <w:rsid w:val="008D5281"/>
    <w:rsid w:val="008E533D"/>
    <w:rsid w:val="008F36FA"/>
    <w:rsid w:val="008F551C"/>
    <w:rsid w:val="009037B8"/>
    <w:rsid w:val="0090531F"/>
    <w:rsid w:val="00907114"/>
    <w:rsid w:val="00932900"/>
    <w:rsid w:val="009358C8"/>
    <w:rsid w:val="00946A42"/>
    <w:rsid w:val="00946FE0"/>
    <w:rsid w:val="00952549"/>
    <w:rsid w:val="00955210"/>
    <w:rsid w:val="00986EC6"/>
    <w:rsid w:val="00991AC2"/>
    <w:rsid w:val="009A68A1"/>
    <w:rsid w:val="009B1336"/>
    <w:rsid w:val="009B7FE1"/>
    <w:rsid w:val="009C0FB7"/>
    <w:rsid w:val="009E51A3"/>
    <w:rsid w:val="00A05670"/>
    <w:rsid w:val="00A05A50"/>
    <w:rsid w:val="00A3397A"/>
    <w:rsid w:val="00A47FC9"/>
    <w:rsid w:val="00A51D70"/>
    <w:rsid w:val="00A83E65"/>
    <w:rsid w:val="00A86C00"/>
    <w:rsid w:val="00A92E93"/>
    <w:rsid w:val="00AA7E7F"/>
    <w:rsid w:val="00AB13BF"/>
    <w:rsid w:val="00AB59C3"/>
    <w:rsid w:val="00AB6ABA"/>
    <w:rsid w:val="00B075FA"/>
    <w:rsid w:val="00B156FF"/>
    <w:rsid w:val="00B51802"/>
    <w:rsid w:val="00B52EA0"/>
    <w:rsid w:val="00B53BD0"/>
    <w:rsid w:val="00B64861"/>
    <w:rsid w:val="00B829DC"/>
    <w:rsid w:val="00BA3A93"/>
    <w:rsid w:val="00BE0A26"/>
    <w:rsid w:val="00BE72E2"/>
    <w:rsid w:val="00C071E7"/>
    <w:rsid w:val="00C1431E"/>
    <w:rsid w:val="00C36F04"/>
    <w:rsid w:val="00C6587F"/>
    <w:rsid w:val="00C744CB"/>
    <w:rsid w:val="00C7746A"/>
    <w:rsid w:val="00C81D4D"/>
    <w:rsid w:val="00C929BA"/>
    <w:rsid w:val="00CC39D5"/>
    <w:rsid w:val="00CF2107"/>
    <w:rsid w:val="00CF6901"/>
    <w:rsid w:val="00D4415B"/>
    <w:rsid w:val="00D6706D"/>
    <w:rsid w:val="00D6708D"/>
    <w:rsid w:val="00D72AC8"/>
    <w:rsid w:val="00DA47AF"/>
    <w:rsid w:val="00DC0933"/>
    <w:rsid w:val="00DC2DDD"/>
    <w:rsid w:val="00DD251C"/>
    <w:rsid w:val="00E060C2"/>
    <w:rsid w:val="00E2213D"/>
    <w:rsid w:val="00E34AEB"/>
    <w:rsid w:val="00E36837"/>
    <w:rsid w:val="00E41F22"/>
    <w:rsid w:val="00E67EAA"/>
    <w:rsid w:val="00E75F8A"/>
    <w:rsid w:val="00E80796"/>
    <w:rsid w:val="00ED0BAB"/>
    <w:rsid w:val="00ED7065"/>
    <w:rsid w:val="00ED74F9"/>
    <w:rsid w:val="00EE7602"/>
    <w:rsid w:val="00EF408F"/>
    <w:rsid w:val="00EF43A8"/>
    <w:rsid w:val="00F029D9"/>
    <w:rsid w:val="00F02AD1"/>
    <w:rsid w:val="00F04B79"/>
    <w:rsid w:val="00F12271"/>
    <w:rsid w:val="00F12C9A"/>
    <w:rsid w:val="00F210E7"/>
    <w:rsid w:val="00F33BA0"/>
    <w:rsid w:val="00F36E2D"/>
    <w:rsid w:val="00F5157C"/>
    <w:rsid w:val="00F60A23"/>
    <w:rsid w:val="00F640D4"/>
    <w:rsid w:val="00F64EE5"/>
    <w:rsid w:val="00F733F3"/>
    <w:rsid w:val="00F746E3"/>
    <w:rsid w:val="00F851D3"/>
    <w:rsid w:val="00FA099A"/>
    <w:rsid w:val="00FC1D2B"/>
    <w:rsid w:val="00FC2CC0"/>
    <w:rsid w:val="00FD1F4A"/>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r="http://schemas.openxmlformats.org/officeDocument/2006/relationships" xmlns:w="http://schemas.openxmlformats.org/wordprocessingml/2006/main">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nduri-structurale.ro/finantari/129/cresterea-eficientei-energetice-in-regiune-ca-parte-a-investitiilor-in-sectorul-locuintelor" TargetMode="External"/><Relationship Id="rId13" Type="http://schemas.openxmlformats.org/officeDocument/2006/relationships/hyperlink" Target="https://fonduri-structurale.ro/finantari/734/diversificarea-si-flexibilizarea-serviciilor-de-educatie-timpuri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nduri-structurale.ro/finantari/734/diversificarea-si-flexibilizarea-serviciilor-de-educatie-timpur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nduri-structurale.ro/finantari/901/dotarea-cu-laboratoare-de-informatica-si-ateliere-de-practica-a-unitatilor-de-invatamant-din-reteaua-invatamantului-profesional-si-tehnic-runda-a-i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alte-finantari/867/programul-rabla-plus-2024" TargetMode="External"/><Relationship Id="rId5" Type="http://schemas.openxmlformats.org/officeDocument/2006/relationships/webSettings" Target="webSettings.xml"/><Relationship Id="rId15" Type="http://schemas.openxmlformats.org/officeDocument/2006/relationships/hyperlink" Target="https://www.fonduri-structurale.ro/finantari/871/investitii-in-infrastructura-publica-a-ambulatoriilor-unitatilor-sanitare-structurilor-sanitare-publice-dotare" TargetMode="External"/><Relationship Id="rId10" Type="http://schemas.openxmlformats.org/officeDocument/2006/relationships/hyperlink" Target="https://www.fonduri-structurale.ro/alte-finantari/866/programul-rabla-clasic-202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onduri-structurale.ro/finantari/170/finantare-pentru-solutii-de-crestere-a-sigurantei-traficului-si-investitii-in-siguranta-infrastructurii-rutiere" TargetMode="External"/><Relationship Id="rId14" Type="http://schemas.openxmlformats.org/officeDocument/2006/relationships/hyperlink" Target="https://www.fonduri-structurale.ro/finantari/886/investitii-pentru-cabinete-de-asistenta-medicala-stomatologica-care-furnizeaza-servicii-copiilor-in-ambulatoriile-integrate-spitalelor-de-pediatrie-sau-ambulatoriile-spitalelor-publice-care-au-sectii-de-pediatr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0D9B-7EA9-47B9-AA3B-C79B9193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4272</Words>
  <Characters>24355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28570</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Paul</cp:lastModifiedBy>
  <cp:revision>3</cp:revision>
  <cp:lastPrinted>1601-01-01T00:00:00Z</cp:lastPrinted>
  <dcterms:created xsi:type="dcterms:W3CDTF">2024-09-03T11:40:00Z</dcterms:created>
  <dcterms:modified xsi:type="dcterms:W3CDTF">2024-09-03T12:24:00Z</dcterms:modified>
</cp:coreProperties>
</file>