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DA48AD" w:rsidP="00F029D9">
      <w:pPr>
        <w:spacing w:after="0" w:line="240" w:lineRule="auto"/>
        <w:jc w:val="center"/>
      </w:pPr>
      <w:r>
        <w:rPr>
          <w:rFonts w:ascii="Times New Roman" w:hAnsi="Times New Roman" w:cs="Times New Roman"/>
          <w:b/>
          <w:sz w:val="28"/>
          <w:szCs w:val="28"/>
        </w:rPr>
        <w:t>OCTOMBRIE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1.Unitățile Administrativ-Teritoriale oraș și municipiu (inclusiv municipiu reședință de județ)</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2.Unitățile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3.Parteneriate între:</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0E3C01">
              <w:rPr>
                <w:rFonts w:ascii="Times New Roman" w:hAnsi="Times New Roman" w:cs="Times New Roman"/>
                <w:sz w:val="16"/>
                <w:szCs w:val="16"/>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A57AFB" w:rsidP="00B562E5">
            <w:pPr>
              <w:autoSpaceDE w:val="0"/>
              <w:spacing w:after="0" w:line="240" w:lineRule="auto"/>
            </w:pPr>
            <w:hyperlink r:id="rId8" w:history="1">
              <w:r w:rsidR="00F029D9" w:rsidRPr="00B802F3">
                <w:rPr>
                  <w:rStyle w:val="Hyperlink"/>
                </w:rPr>
                <w:t>https://fonduri-structurale.ro/finantari/129/cresterea-eficientei-energetice-in-regiune-ca-parte-a-investitiilor-in-sectorul-locuintelor#</w:t>
              </w:r>
            </w:hyperlink>
            <w:r w:rsidR="00F029D9" w:rsidRPr="00F029D9">
              <w:t>!</w:t>
            </w:r>
          </w:p>
          <w:p w:rsidR="00F029D9" w:rsidRDefault="00F029D9"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4556E">
              <w:rPr>
                <w:rFonts w:ascii="Times New Roman" w:hAnsi="Times New Roman" w:cs="Times New Roman"/>
                <w:sz w:val="18"/>
                <w:szCs w:val="18"/>
                <w:lang w:val="en-US"/>
              </w:rPr>
              <w:t xml:space="preserve">Amenajare intersecții la nivel între căile de comunicații rutiere; </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4556E">
              <w:rPr>
                <w:rFonts w:ascii="Times New Roman" w:hAnsi="Times New Roman" w:cs="Times New Roman"/>
                <w:sz w:val="18"/>
                <w:szCs w:val="18"/>
                <w:lang w:val="en-US"/>
              </w:rPr>
              <w:t>Amenajare intersecții denivelate între căile de comunicații;</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4556E">
              <w:rPr>
                <w:rFonts w:ascii="Times New Roman" w:hAnsi="Times New Roman" w:cs="Times New Roman"/>
                <w:sz w:val="18"/>
                <w:szCs w:val="18"/>
                <w:lang w:val="en-US"/>
              </w:rPr>
              <w:t xml:space="preserve">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4556E">
              <w:rPr>
                <w:rFonts w:ascii="Times New Roman" w:hAnsi="Times New Roman" w:cs="Times New Roman"/>
                <w:sz w:val="18"/>
                <w:szCs w:val="18"/>
                <w:lang w:val="en-US"/>
              </w:rPr>
              <w:t>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F36004" w:rsidP="00B562E5">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16.12.2024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A57AFB" w:rsidP="00B562E5">
            <w:pPr>
              <w:autoSpaceDE w:val="0"/>
              <w:spacing w:after="0" w:line="240" w:lineRule="auto"/>
            </w:pPr>
            <w:hyperlink r:id="rId9" w:history="1">
              <w:r w:rsidR="0014556E"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A57AFB" w:rsidP="00B562E5">
            <w:pPr>
              <w:autoSpaceDE w:val="0"/>
              <w:spacing w:after="0" w:line="240" w:lineRule="auto"/>
            </w:pPr>
            <w:hyperlink r:id="rId10"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A57AFB" w:rsidP="00B562E5">
            <w:pPr>
              <w:autoSpaceDE w:val="0"/>
              <w:spacing w:after="0" w:line="240" w:lineRule="auto"/>
            </w:pPr>
            <w:hyperlink r:id="rId11"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2A5F6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pacing w:after="0" w:line="240" w:lineRule="auto"/>
            </w:pPr>
            <w:r>
              <w:rPr>
                <w:rFonts w:ascii="Times New Roman" w:hAnsi="Times New Roman" w:cs="Times New Roman"/>
                <w:b/>
                <w:sz w:val="18"/>
                <w:szCs w:val="18"/>
              </w:rPr>
              <w:lastRenderedPageBreak/>
              <w:t>Guvernul</w:t>
            </w:r>
          </w:p>
          <w:p w:rsidR="002A5F60" w:rsidRDefault="002A5F60" w:rsidP="002A5F6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2A5F60">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Programul Educație și Ocupare</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B562E5">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2A5F60" w:rsidRPr="00E80796" w:rsidRDefault="002A5F60" w:rsidP="00E80796">
            <w:pPr>
              <w:autoSpaceDE w:val="0"/>
              <w:spacing w:after="0" w:line="240" w:lineRule="auto"/>
              <w:rPr>
                <w:rFonts w:ascii="Times New Roman" w:eastAsia="Times New Roman" w:hAnsi="Times New Roman" w:cs="Times New Roman"/>
                <w:sz w:val="20"/>
                <w:szCs w:val="20"/>
                <w:lang w:val="en-US"/>
              </w:rPr>
            </w:pPr>
            <w:r w:rsidRPr="002A5F60">
              <w:rPr>
                <w:rFonts w:ascii="Times New Roman" w:eastAsia="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tc>
        <w:tc>
          <w:tcPr>
            <w:tcW w:w="2159"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2A5F60">
              <w:rPr>
                <w:rFonts w:ascii="Times New Roman" w:hAnsi="Times New Roman" w:cs="Times New Roman"/>
                <w:lang w:val="en-US"/>
              </w:rPr>
              <w:t>Consiliile județene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2A5F60">
              <w:rPr>
                <w:rFonts w:ascii="Times New Roman" w:hAnsi="Times New Roman" w:cs="Times New Roman"/>
                <w:lang w:val="en-US"/>
              </w:rPr>
              <w:t>Partenerii eligibili sunt:</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Inspectoratul Școlar Județean (obligatoriu);</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Autorități ale administrației publice locale;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Instituții de învățământ superior;</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Unități de învățământ acreditate, publice și private, din rețeaua școlară națională.</w:t>
            </w:r>
          </w:p>
          <w:p w:rsidR="002A5F60" w:rsidRPr="002A5F60"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Centrele Județene de Resurse și Asistență Educațională (CJRAE);</w:t>
            </w:r>
          </w:p>
          <w:p w:rsid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Furnizori privați de educație timpurie, inclusiv organizații neguvernamentale</w:t>
            </w:r>
          </w:p>
          <w:p w:rsidR="002A5F60" w:rsidRPr="002A5F60" w:rsidRDefault="002A5F60" w:rsidP="002A5F60">
            <w:pPr>
              <w:autoSpaceDE w:val="0"/>
              <w:spacing w:after="0" w:line="240" w:lineRule="auto"/>
              <w:rPr>
                <w:rFonts w:ascii="Times New Roman" w:hAnsi="Times New Roman" w:cs="Times New Roman"/>
                <w:lang w:val="en-US"/>
              </w:rPr>
            </w:pPr>
          </w:p>
          <w:p w:rsidR="002A5F60" w:rsidRPr="00E80796"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Este obligatoriu ca Inspectoratul Școlar Județean să participe la implementarea proiectului în calitate de partener.</w:t>
            </w:r>
          </w:p>
        </w:tc>
        <w:tc>
          <w:tcPr>
            <w:tcW w:w="405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2A5F60">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2A5F60">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2A5F60" w:rsidRPr="00655ADF"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r w:rsidRPr="002A5F60">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minimă eligibilă a unui proiect este de 201.000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maximă eligibilă a unui proiect nu poate depăși 7.814.851,40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Pr="001C5575"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eligibilă a proiectelor va fi dimensionată în funcție de valoarea grupului țintă aferentă indicatorului EECO06+07 având ca reper suma de 3.117,21 euro/copil.</w:t>
            </w:r>
          </w:p>
        </w:tc>
        <w:tc>
          <w:tcPr>
            <w:tcW w:w="153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Cofinanțarea se aplică în funcție de Beneficiarul eligibil, astfel: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0% pentru persoanele juridice de drept privat fără scop patrimonial.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instituţii de învăţământ preuniversitar/ superior private acreditate.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2A5F60" w:rsidRDefault="00317E59" w:rsidP="001C5575">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29.11.2024</w:t>
            </w:r>
          </w:p>
          <w:p w:rsidR="00317E59" w:rsidRPr="002A5F60" w:rsidRDefault="00317E59" w:rsidP="001C5575">
            <w:pPr>
              <w:autoSpaceDE w:val="0"/>
              <w:spacing w:after="0" w:line="240" w:lineRule="auto"/>
              <w:rPr>
                <w:rFonts w:ascii="Times New Roman" w:eastAsia="Times New Roman" w:hAnsi="Times New Roman" w:cs="Times New Roman"/>
                <w:sz w:val="16"/>
                <w:szCs w:val="16"/>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2A5F60" w:rsidRDefault="00A57AFB" w:rsidP="00B562E5">
            <w:pPr>
              <w:autoSpaceDE w:val="0"/>
              <w:spacing w:after="0" w:line="240" w:lineRule="auto"/>
            </w:pPr>
            <w:hyperlink r:id="rId12" w:history="1">
              <w:r w:rsidR="002A5F60" w:rsidRPr="00B802F3">
                <w:rPr>
                  <w:rStyle w:val="Hyperlink"/>
                </w:rPr>
                <w:t>https://www.fonduri-structurale.ro/finantari/734/diversificarea-si-flexibilizarea-serviciilor-de-educatie-timpurie</w:t>
              </w:r>
            </w:hyperlink>
          </w:p>
          <w:p w:rsidR="002A5F60" w:rsidRDefault="002A5F60" w:rsidP="00B562E5">
            <w:pPr>
              <w:autoSpaceDE w:val="0"/>
              <w:spacing w:after="0" w:line="240" w:lineRule="auto"/>
            </w:pPr>
          </w:p>
        </w:tc>
      </w:tr>
      <w:tr w:rsidR="00F64EE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64EE5" w:rsidRDefault="00F64EE5" w:rsidP="00B7416F">
            <w:pPr>
              <w:autoSpaceDE w:val="0"/>
              <w:spacing w:after="0" w:line="240" w:lineRule="auto"/>
              <w:rPr>
                <w:rFonts w:ascii="Times New Roman" w:hAnsi="Times New Roman" w:cs="Times New Roman"/>
                <w:b/>
                <w:sz w:val="18"/>
                <w:szCs w:val="18"/>
              </w:rPr>
            </w:pPr>
          </w:p>
          <w:p w:rsidR="00F64EE5"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F64EE5" w:rsidRDefault="00F64EE5" w:rsidP="00B7416F">
            <w:pPr>
              <w:autoSpaceDE w:val="0"/>
              <w:spacing w:after="0" w:line="240" w:lineRule="auto"/>
              <w:rPr>
                <w:rFonts w:ascii="Times New Roman" w:hAnsi="Times New Roman" w:cs="Times New Roman"/>
                <w:b/>
                <w:sz w:val="18"/>
                <w:szCs w:val="18"/>
              </w:rPr>
            </w:pPr>
          </w:p>
          <w:p w:rsidR="00F64EE5" w:rsidRPr="00C749EF"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F64EE5" w:rsidRPr="004D64A0" w:rsidRDefault="00991AC2" w:rsidP="00991AC2">
            <w:pPr>
              <w:autoSpaceDE w:val="0"/>
              <w:spacing w:after="0" w:line="240" w:lineRule="auto"/>
              <w:rPr>
                <w:rFonts w:ascii="Times New Roman" w:eastAsia="Times New Roman" w:hAnsi="Times New Roman" w:cs="Times New Roman"/>
                <w:sz w:val="18"/>
                <w:szCs w:val="18"/>
                <w:lang w:val="en-US"/>
              </w:rPr>
            </w:pPr>
            <w:r w:rsidRPr="00F64EE5">
              <w:rPr>
                <w:rFonts w:ascii="Times New Roman" w:hAnsi="Times New Roman" w:cs="Times New Roman"/>
                <w:b/>
                <w:sz w:val="18"/>
                <w:szCs w:val="18"/>
              </w:rPr>
              <w:t>Diversificarea și flexibilizarea serviciilor</w:t>
            </w:r>
            <w:r>
              <w:rPr>
                <w:rFonts w:ascii="Times New Roman" w:hAnsi="Times New Roman" w:cs="Times New Roman"/>
                <w:b/>
                <w:sz w:val="18"/>
                <w:szCs w:val="18"/>
              </w:rPr>
              <w:t xml:space="preserve"> de suport socio-educaţional</w:t>
            </w:r>
          </w:p>
        </w:tc>
        <w:tc>
          <w:tcPr>
            <w:tcW w:w="2159"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F64EE5">
              <w:rPr>
                <w:rFonts w:ascii="Times New Roman" w:hAnsi="Times New Roman" w:cs="Times New Roman"/>
                <w:lang w:val="en-US"/>
              </w:rPr>
              <w:t>Consiliile județene</w:t>
            </w:r>
          </w:p>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F64EE5">
              <w:rPr>
                <w:rFonts w:ascii="Times New Roman" w:hAnsi="Times New Roman" w:cs="Times New Roman"/>
                <w:lang w:val="en-US"/>
              </w:rPr>
              <w:t>Partenerii eligibili sunt:</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Inspectoratul Școlar Județean (obligatoriu);</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Autorități ale administrației publice locale;</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Instituții de învățământ superior;</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Unități de învățământ acreditate, publice și private, din rețeaua școlară națională.</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Centrele Județene de Resurse și Asistență Educațională (CJRAE);</w:t>
            </w:r>
          </w:p>
          <w:p w:rsid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Furnizori privați de educație timpurie, inclusiv organizații neguvernamentale</w:t>
            </w:r>
          </w:p>
        </w:tc>
        <w:tc>
          <w:tcPr>
            <w:tcW w:w="4050"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F64EE5" w:rsidRDefault="00F64EE5"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F64EE5" w:rsidRPr="00A1317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minimă eligibilă a unui proiect este de 201.000 euro</w:t>
            </w:r>
          </w:p>
          <w:p w:rsidR="00F64EE5" w:rsidRPr="00E625D4"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maximă eligibilă a unui proiect nu poate depăși 7.814.851,40 euro.</w:t>
            </w:r>
          </w:p>
        </w:tc>
        <w:tc>
          <w:tcPr>
            <w:tcW w:w="153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sidRPr="00F64EE5">
              <w:rPr>
                <w:rFonts w:ascii="Times New Roman" w:eastAsia="Times New Roman" w:hAnsi="Times New Roman" w:cs="Times New Roman"/>
                <w:sz w:val="16"/>
                <w:szCs w:val="16"/>
                <w:lang w:val="en-US"/>
              </w:rPr>
              <w:t>Cofinanțarea se aplică în funcție de Beneficiarul eligibil, astfel:</w:t>
            </w: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F64EE5" w:rsidRPr="00412E5B" w:rsidRDefault="00F64EE5" w:rsidP="00F64EE5">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tc>
        <w:tc>
          <w:tcPr>
            <w:tcW w:w="1080" w:type="dxa"/>
            <w:tcBorders>
              <w:top w:val="single" w:sz="4" w:space="0" w:color="000000"/>
              <w:left w:val="single" w:sz="4" w:space="0" w:color="000000"/>
              <w:bottom w:val="single" w:sz="4" w:space="0" w:color="000000"/>
            </w:tcBorders>
            <w:shd w:val="clear" w:color="auto" w:fill="auto"/>
          </w:tcPr>
          <w:p w:rsidR="00F64EE5" w:rsidRPr="00F24B4C" w:rsidRDefault="008B3268" w:rsidP="008B3268">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29 Noi</w:t>
            </w:r>
            <w:r w:rsidR="00F64EE5" w:rsidRPr="00F64EE5">
              <w:rPr>
                <w:rFonts w:ascii="Times New Roman" w:eastAsia="Times New Roman" w:hAnsi="Times New Roman" w:cs="Times New Roman"/>
                <w:sz w:val="18"/>
                <w:szCs w:val="18"/>
                <w:lang w:val="en-US"/>
              </w:rPr>
              <w: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64EE5" w:rsidRDefault="00A57AFB" w:rsidP="00B7416F">
            <w:pPr>
              <w:autoSpaceDE w:val="0"/>
              <w:spacing w:after="0" w:line="240" w:lineRule="auto"/>
              <w:rPr>
                <w:color w:val="4F81BD" w:themeColor="accent1"/>
                <w:u w:val="single"/>
              </w:rPr>
            </w:pPr>
            <w:hyperlink r:id="rId13" w:history="1">
              <w:r w:rsidR="00F64EE5" w:rsidRPr="007D78AF">
                <w:rPr>
                  <w:rStyle w:val="Hyperlink"/>
                </w:rPr>
                <w:t>https://fonduri-structurale.ro/finantari/734/diversificarea-si-flexibilizarea-serviciilor-de-educatie-timpurie#</w:t>
              </w:r>
            </w:hyperlink>
            <w:r w:rsidR="00F64EE5" w:rsidRPr="00F64EE5">
              <w:rPr>
                <w:color w:val="4F81BD" w:themeColor="accent1"/>
                <w:u w:val="single"/>
              </w:rPr>
              <w:t>!</w:t>
            </w:r>
          </w:p>
          <w:p w:rsidR="00F64EE5" w:rsidRPr="00130D1D" w:rsidRDefault="00F64EE5" w:rsidP="00B7416F">
            <w:pPr>
              <w:autoSpaceDE w:val="0"/>
              <w:spacing w:after="0" w:line="240" w:lineRule="auto"/>
              <w:rPr>
                <w:color w:val="4F81BD" w:themeColor="accent1"/>
                <w:u w:val="single"/>
              </w:rPr>
            </w:pPr>
          </w:p>
        </w:tc>
      </w:tr>
    </w:tbl>
    <w:p w:rsidR="00666700" w:rsidRDefault="00666700" w:rsidP="00F746E3"/>
    <w:sectPr w:rsidR="00666700" w:rsidSect="007B3C58">
      <w:headerReference w:type="default" r:id="rId14"/>
      <w:footerReference w:type="default" r:id="rId15"/>
      <w:headerReference w:type="first" r:id="rId16"/>
      <w:footerReference w:type="first" r:id="rId17"/>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143" w:rsidRDefault="00D40143">
      <w:pPr>
        <w:spacing w:after="0" w:line="240" w:lineRule="auto"/>
      </w:pPr>
      <w:r>
        <w:separator/>
      </w:r>
    </w:p>
  </w:endnote>
  <w:endnote w:type="continuationSeparator" w:id="1">
    <w:p w:rsidR="00D40143" w:rsidRDefault="00D40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A57AFB">
      <w:rPr>
        <w:rFonts w:cs="Arial"/>
        <w:sz w:val="17"/>
        <w:szCs w:val="17"/>
      </w:rPr>
      <w:fldChar w:fldCharType="begin"/>
    </w:r>
    <w:r>
      <w:rPr>
        <w:rFonts w:cs="Arial"/>
        <w:sz w:val="17"/>
        <w:szCs w:val="17"/>
      </w:rPr>
      <w:instrText xml:space="preserve"> PAGE </w:instrText>
    </w:r>
    <w:r w:rsidR="00A57AFB">
      <w:rPr>
        <w:rFonts w:cs="Arial"/>
        <w:sz w:val="17"/>
        <w:szCs w:val="17"/>
      </w:rPr>
      <w:fldChar w:fldCharType="separate"/>
    </w:r>
    <w:r w:rsidR="008F56DC">
      <w:rPr>
        <w:rFonts w:cs="Arial"/>
        <w:noProof/>
        <w:sz w:val="17"/>
        <w:szCs w:val="17"/>
      </w:rPr>
      <w:t>6</w:t>
    </w:r>
    <w:r w:rsidR="00A57AFB">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143" w:rsidRDefault="00D40143">
      <w:pPr>
        <w:spacing w:after="0" w:line="240" w:lineRule="auto"/>
      </w:pPr>
      <w:r>
        <w:separator/>
      </w:r>
    </w:p>
  </w:footnote>
  <w:footnote w:type="continuationSeparator" w:id="1">
    <w:p w:rsidR="00D40143" w:rsidRDefault="00D40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8"/>
  </w:num>
  <w:num w:numId="6">
    <w:abstractNumId w:val="6"/>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0178"/>
  </w:hdrShapeDefaults>
  <w:footnotePr>
    <w:footnote w:id="0"/>
    <w:footnote w:id="1"/>
  </w:footnotePr>
  <w:endnotePr>
    <w:endnote w:id="0"/>
    <w:endnote w:id="1"/>
  </w:endnotePr>
  <w:compat/>
  <w:rsids>
    <w:rsidRoot w:val="00B829DC"/>
    <w:rsid w:val="00012581"/>
    <w:rsid w:val="00037B02"/>
    <w:rsid w:val="0004127E"/>
    <w:rsid w:val="000613B6"/>
    <w:rsid w:val="00077435"/>
    <w:rsid w:val="00092CAA"/>
    <w:rsid w:val="000964B4"/>
    <w:rsid w:val="0009787E"/>
    <w:rsid w:val="000B17BF"/>
    <w:rsid w:val="000C072F"/>
    <w:rsid w:val="000C5944"/>
    <w:rsid w:val="000C6232"/>
    <w:rsid w:val="000D156B"/>
    <w:rsid w:val="000D680C"/>
    <w:rsid w:val="000E3C01"/>
    <w:rsid w:val="000F105D"/>
    <w:rsid w:val="000F39C6"/>
    <w:rsid w:val="00100066"/>
    <w:rsid w:val="00103A9B"/>
    <w:rsid w:val="0013434D"/>
    <w:rsid w:val="0014556E"/>
    <w:rsid w:val="00154427"/>
    <w:rsid w:val="001751C1"/>
    <w:rsid w:val="00175820"/>
    <w:rsid w:val="00194D64"/>
    <w:rsid w:val="001959C6"/>
    <w:rsid w:val="001967BB"/>
    <w:rsid w:val="001C5575"/>
    <w:rsid w:val="001F2B97"/>
    <w:rsid w:val="00203D96"/>
    <w:rsid w:val="0023185D"/>
    <w:rsid w:val="00252215"/>
    <w:rsid w:val="002702B1"/>
    <w:rsid w:val="00293673"/>
    <w:rsid w:val="002A5D9B"/>
    <w:rsid w:val="002A5F60"/>
    <w:rsid w:val="002C6049"/>
    <w:rsid w:val="002C62BF"/>
    <w:rsid w:val="002D42D3"/>
    <w:rsid w:val="003118F4"/>
    <w:rsid w:val="00317E59"/>
    <w:rsid w:val="003225BE"/>
    <w:rsid w:val="00322824"/>
    <w:rsid w:val="00323671"/>
    <w:rsid w:val="0032560E"/>
    <w:rsid w:val="00334178"/>
    <w:rsid w:val="00364EBC"/>
    <w:rsid w:val="003664BD"/>
    <w:rsid w:val="003674B3"/>
    <w:rsid w:val="00373EAF"/>
    <w:rsid w:val="00384659"/>
    <w:rsid w:val="003E4071"/>
    <w:rsid w:val="003E4B67"/>
    <w:rsid w:val="003F750E"/>
    <w:rsid w:val="00412E5B"/>
    <w:rsid w:val="004150B7"/>
    <w:rsid w:val="00425E22"/>
    <w:rsid w:val="004277C6"/>
    <w:rsid w:val="00444F49"/>
    <w:rsid w:val="0045294B"/>
    <w:rsid w:val="00467D9A"/>
    <w:rsid w:val="004721D0"/>
    <w:rsid w:val="00473166"/>
    <w:rsid w:val="0047438F"/>
    <w:rsid w:val="00481A35"/>
    <w:rsid w:val="0049447C"/>
    <w:rsid w:val="004A6059"/>
    <w:rsid w:val="004B4D59"/>
    <w:rsid w:val="0050176C"/>
    <w:rsid w:val="0051025D"/>
    <w:rsid w:val="00513401"/>
    <w:rsid w:val="00515311"/>
    <w:rsid w:val="0053482E"/>
    <w:rsid w:val="00542C19"/>
    <w:rsid w:val="00552CE0"/>
    <w:rsid w:val="00555EAF"/>
    <w:rsid w:val="00556690"/>
    <w:rsid w:val="00565412"/>
    <w:rsid w:val="00574E9E"/>
    <w:rsid w:val="005A7381"/>
    <w:rsid w:val="005C158B"/>
    <w:rsid w:val="005C55A1"/>
    <w:rsid w:val="005D5269"/>
    <w:rsid w:val="005D5FE4"/>
    <w:rsid w:val="005E1DE4"/>
    <w:rsid w:val="005F5F6C"/>
    <w:rsid w:val="005F6C02"/>
    <w:rsid w:val="00607369"/>
    <w:rsid w:val="00635AB3"/>
    <w:rsid w:val="00642E6B"/>
    <w:rsid w:val="0064661F"/>
    <w:rsid w:val="00655ADF"/>
    <w:rsid w:val="00656E04"/>
    <w:rsid w:val="00666700"/>
    <w:rsid w:val="006706CC"/>
    <w:rsid w:val="00674C8A"/>
    <w:rsid w:val="006763DB"/>
    <w:rsid w:val="00677E6D"/>
    <w:rsid w:val="00684EBC"/>
    <w:rsid w:val="00685675"/>
    <w:rsid w:val="006856C8"/>
    <w:rsid w:val="00690BFC"/>
    <w:rsid w:val="006B20EF"/>
    <w:rsid w:val="006E09DD"/>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B3268"/>
    <w:rsid w:val="008D5281"/>
    <w:rsid w:val="008E533D"/>
    <w:rsid w:val="008F36FA"/>
    <w:rsid w:val="008F551C"/>
    <w:rsid w:val="008F56DC"/>
    <w:rsid w:val="009037B8"/>
    <w:rsid w:val="0090531F"/>
    <w:rsid w:val="00907114"/>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3397A"/>
    <w:rsid w:val="00A445D4"/>
    <w:rsid w:val="00A47FC9"/>
    <w:rsid w:val="00A51D70"/>
    <w:rsid w:val="00A57AFB"/>
    <w:rsid w:val="00A83E65"/>
    <w:rsid w:val="00A86C00"/>
    <w:rsid w:val="00A92E93"/>
    <w:rsid w:val="00AA7E7F"/>
    <w:rsid w:val="00AB13BF"/>
    <w:rsid w:val="00AB59C3"/>
    <w:rsid w:val="00AB6ABA"/>
    <w:rsid w:val="00B075FA"/>
    <w:rsid w:val="00B156FF"/>
    <w:rsid w:val="00B51802"/>
    <w:rsid w:val="00B52EA0"/>
    <w:rsid w:val="00B53BD0"/>
    <w:rsid w:val="00B64861"/>
    <w:rsid w:val="00B829DC"/>
    <w:rsid w:val="00BA3A93"/>
    <w:rsid w:val="00BE0A26"/>
    <w:rsid w:val="00BE72E2"/>
    <w:rsid w:val="00C071E7"/>
    <w:rsid w:val="00C1431E"/>
    <w:rsid w:val="00C36F04"/>
    <w:rsid w:val="00C6587F"/>
    <w:rsid w:val="00C744CB"/>
    <w:rsid w:val="00C7746A"/>
    <w:rsid w:val="00C81D4D"/>
    <w:rsid w:val="00C929BA"/>
    <w:rsid w:val="00CC39D5"/>
    <w:rsid w:val="00CC4B02"/>
    <w:rsid w:val="00CF2107"/>
    <w:rsid w:val="00CF6901"/>
    <w:rsid w:val="00D40143"/>
    <w:rsid w:val="00D4415B"/>
    <w:rsid w:val="00D6706D"/>
    <w:rsid w:val="00D6708D"/>
    <w:rsid w:val="00D72AC8"/>
    <w:rsid w:val="00DA47AF"/>
    <w:rsid w:val="00DA48AD"/>
    <w:rsid w:val="00DC0933"/>
    <w:rsid w:val="00DC2DDD"/>
    <w:rsid w:val="00DD251C"/>
    <w:rsid w:val="00E060C2"/>
    <w:rsid w:val="00E2213D"/>
    <w:rsid w:val="00E34AEB"/>
    <w:rsid w:val="00E36837"/>
    <w:rsid w:val="00E41F22"/>
    <w:rsid w:val="00E67EAA"/>
    <w:rsid w:val="00E75F8A"/>
    <w:rsid w:val="00E80796"/>
    <w:rsid w:val="00ED0BAB"/>
    <w:rsid w:val="00ED7065"/>
    <w:rsid w:val="00ED74F9"/>
    <w:rsid w:val="00EE7602"/>
    <w:rsid w:val="00EF408F"/>
    <w:rsid w:val="00EF43A8"/>
    <w:rsid w:val="00F029D9"/>
    <w:rsid w:val="00F02AD1"/>
    <w:rsid w:val="00F04B79"/>
    <w:rsid w:val="00F12271"/>
    <w:rsid w:val="00F12C9A"/>
    <w:rsid w:val="00F210E7"/>
    <w:rsid w:val="00F33BA0"/>
    <w:rsid w:val="00F36004"/>
    <w:rsid w:val="00F36E2D"/>
    <w:rsid w:val="00F5157C"/>
    <w:rsid w:val="00F60A23"/>
    <w:rsid w:val="00F640D4"/>
    <w:rsid w:val="00F64EE5"/>
    <w:rsid w:val="00F733F3"/>
    <w:rsid w:val="00F746E3"/>
    <w:rsid w:val="00F851D3"/>
    <w:rsid w:val="00FA099A"/>
    <w:rsid w:val="00FA14A4"/>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fonduri-structurale.ro/finantari/734/diversificarea-si-flexibilizarea-serviciilor-de-educatie-timpur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nduri-structurale.ro/finantari/734/diversificarea-si-flexibilizarea-serviciilor-de-educatie-timpur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alte-finantari/867/programul-rabla-plus-20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onduri-structurale.ro/alte-finantari/866/programul-rabla-clasic-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onduri-structurale.ro/finantari/170/finantare-pentru-solutii-de-crestere-a-sigurantei-traficului-si-investitii-in-siguranta-infrastructurii-rutie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D9B-7EA9-47B9-AA3B-C79B919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Ramona</cp:lastModifiedBy>
  <cp:revision>10</cp:revision>
  <cp:lastPrinted>1601-01-01T00:00:00Z</cp:lastPrinted>
  <dcterms:created xsi:type="dcterms:W3CDTF">2024-09-03T11:40:00Z</dcterms:created>
  <dcterms:modified xsi:type="dcterms:W3CDTF">2024-10-02T09:14:00Z</dcterms:modified>
</cp:coreProperties>
</file>