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AEAC39" w14:textId="77777777" w:rsidR="00666700" w:rsidRDefault="0066670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BULETIN INFORMATIV PRIVIND FINANŢĂRILE DISPONIBILE</w:t>
      </w:r>
    </w:p>
    <w:p w14:paraId="0D11BF48" w14:textId="77777777" w:rsidR="00102156" w:rsidRDefault="00565105" w:rsidP="00F02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IULIE</w:t>
      </w:r>
      <w:r w:rsidR="00D02D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156">
        <w:rPr>
          <w:rFonts w:ascii="Times New Roman" w:hAnsi="Times New Roman" w:cs="Times New Roman"/>
          <w:b/>
          <w:sz w:val="28"/>
          <w:szCs w:val="28"/>
        </w:rPr>
        <w:t>2025</w:t>
      </w:r>
    </w:p>
    <w:p w14:paraId="7CE3E5F3" w14:textId="77777777" w:rsidR="00666700" w:rsidRDefault="0073325D" w:rsidP="00F029D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F98F57" w14:textId="77777777" w:rsidR="00666700" w:rsidRDefault="00666700">
      <w:pPr>
        <w:spacing w:after="0" w:line="240" w:lineRule="auto"/>
      </w:pPr>
    </w:p>
    <w:tbl>
      <w:tblPr>
        <w:tblW w:w="15573" w:type="dxa"/>
        <w:tblInd w:w="-930" w:type="dxa"/>
        <w:tblLayout w:type="fixed"/>
        <w:tblLook w:val="0000" w:firstRow="0" w:lastRow="0" w:firstColumn="0" w:lastColumn="0" w:noHBand="0" w:noVBand="0"/>
      </w:tblPr>
      <w:tblGrid>
        <w:gridCol w:w="1558"/>
        <w:gridCol w:w="1953"/>
        <w:gridCol w:w="2159"/>
        <w:gridCol w:w="4050"/>
        <w:gridCol w:w="1620"/>
        <w:gridCol w:w="1530"/>
        <w:gridCol w:w="1080"/>
        <w:gridCol w:w="1623"/>
      </w:tblGrid>
      <w:tr w:rsidR="00666700" w14:paraId="40CB7550" w14:textId="77777777" w:rsidTr="00203D96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CE461" w14:textId="77777777" w:rsidR="00666700" w:rsidRDefault="006667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 xml:space="preserve">Program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finanţare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24D07" w14:textId="77777777" w:rsidR="00666700" w:rsidRDefault="006667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Obiectivul programului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2060C" w14:textId="77777777" w:rsidR="00666700" w:rsidRDefault="00666700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/>
              </w:rPr>
              <w:t>Solicitanţi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eligibili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EC19E" w14:textId="77777777" w:rsidR="00666700" w:rsidRDefault="00666700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eligibile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9A45" w14:textId="77777777" w:rsidR="00666700" w:rsidRDefault="006667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 xml:space="preserve">Valoarea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finanţării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93B09" w14:textId="77777777" w:rsidR="00666700" w:rsidRDefault="00666700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/>
              </w:rPr>
              <w:t>Contribuţia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beneficiarului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A8663" w14:textId="77777777" w:rsidR="00666700" w:rsidRDefault="006667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Termen limită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4DB1" w14:textId="77777777" w:rsidR="00666700" w:rsidRDefault="00666700">
            <w:r>
              <w:t>https://www.fonduri</w:t>
            </w:r>
          </w:p>
        </w:tc>
      </w:tr>
      <w:tr w:rsidR="00D44526" w14:paraId="4D29B894" w14:textId="77777777" w:rsidTr="00586621">
        <w:trPr>
          <w:cantSplit/>
          <w:trHeight w:val="676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05B32" w14:textId="77777777" w:rsidR="00D44526" w:rsidRDefault="00D44526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ACM PO </w:t>
            </w:r>
            <w:proofErr w:type="spellStart"/>
            <w:r w:rsidRPr="00D44526">
              <w:rPr>
                <w:rFonts w:ascii="Times New Roman" w:hAnsi="Times New Roman" w:cs="Times New Roman"/>
                <w:b/>
                <w:sz w:val="18"/>
                <w:szCs w:val="18"/>
              </w:rPr>
              <w:t>Ro</w:t>
            </w:r>
            <w:proofErr w:type="spellEnd"/>
            <w:r w:rsidRPr="00D44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D44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44526">
              <w:rPr>
                <w:rFonts w:ascii="Times New Roman" w:hAnsi="Times New Roman" w:cs="Times New Roman"/>
                <w:b/>
                <w:sz w:val="18"/>
                <w:szCs w:val="18"/>
              </w:rPr>
              <w:t>Ua</w:t>
            </w:r>
            <w:proofErr w:type="spellEnd"/>
          </w:p>
          <w:p w14:paraId="039784E7" w14:textId="77777777" w:rsidR="00D44526" w:rsidRDefault="00D44526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24F6F" w14:textId="77777777" w:rsidR="00D44526" w:rsidRDefault="00D44526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E3409" w14:textId="77777777" w:rsidR="00D44526" w:rsidRDefault="00D44526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4526">
              <w:rPr>
                <w:rFonts w:ascii="Times New Roman" w:hAnsi="Times New Roman" w:cs="Times New Roman"/>
                <w:b/>
                <w:sz w:val="18"/>
                <w:szCs w:val="18"/>
              </w:rPr>
              <w:t>Interreg</w:t>
            </w:r>
            <w:proofErr w:type="spellEnd"/>
            <w:r w:rsidRPr="00D44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NEXT VI-A România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D44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Ucraina</w:t>
            </w:r>
          </w:p>
          <w:p w14:paraId="465F0786" w14:textId="77777777" w:rsidR="00D44526" w:rsidRDefault="00D44526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079BE" w14:textId="77777777" w:rsidR="00D44526" w:rsidRDefault="00D44526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B5499" w14:textId="77777777" w:rsidR="00D44526" w:rsidRPr="0033596B" w:rsidRDefault="00D44526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526">
              <w:rPr>
                <w:rFonts w:ascii="Times New Roman" w:hAnsi="Times New Roman" w:cs="Times New Roman"/>
                <w:b/>
                <w:sz w:val="18"/>
                <w:szCs w:val="18"/>
              </w:rPr>
              <w:t>Al doilea apel pentru proiecte cu valoare mică (</w:t>
            </w:r>
            <w:proofErr w:type="spellStart"/>
            <w:r w:rsidRPr="00D44526">
              <w:rPr>
                <w:rFonts w:ascii="Times New Roman" w:hAnsi="Times New Roman" w:cs="Times New Roman"/>
                <w:b/>
                <w:sz w:val="18"/>
                <w:szCs w:val="18"/>
              </w:rPr>
              <w:t>small</w:t>
            </w:r>
            <w:proofErr w:type="spellEnd"/>
            <w:r w:rsidRPr="00D44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-scale </w:t>
            </w:r>
            <w:proofErr w:type="spellStart"/>
            <w:r w:rsidRPr="00D44526">
              <w:rPr>
                <w:rFonts w:ascii="Times New Roman" w:hAnsi="Times New Roman" w:cs="Times New Roman"/>
                <w:b/>
                <w:sz w:val="18"/>
                <w:szCs w:val="18"/>
              </w:rPr>
              <w:t>projects</w:t>
            </w:r>
            <w:proofErr w:type="spellEnd"/>
            <w:r w:rsidRPr="00D4452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964F9" w14:textId="77777777" w:rsidR="00D44526" w:rsidRPr="0033596B" w:rsidRDefault="00D44526" w:rsidP="00991AC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44526">
              <w:rPr>
                <w:rFonts w:ascii="Times New Roman" w:hAnsi="Times New Roman" w:cs="Times New Roman"/>
                <w:shd w:val="clear" w:color="auto" w:fill="FFFFFF"/>
              </w:rPr>
              <w:t>Apelul de proiecte vizează colaborări mici între România și Ucraina, finanțând dezvoltarea serviciilor de educație, inclusiv cooperarea transfrontalieră.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373CF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</w:pP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Potențialii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beneficiari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ai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acestui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apel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sunt:</w:t>
            </w:r>
          </w:p>
          <w:p w14:paraId="564E8D63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</w:pPr>
          </w:p>
          <w:p w14:paraId="1E92E9DB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</w:pP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Autorități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regionale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/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județene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și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locale,</w:t>
            </w:r>
          </w:p>
          <w:p w14:paraId="052236B3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</w:pP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Instituții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publice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,</w:t>
            </w:r>
          </w:p>
          <w:p w14:paraId="0C993717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</w:pP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Instituții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învățământ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,</w:t>
            </w:r>
          </w:p>
          <w:p w14:paraId="6CE31A76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</w:pPr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ONG-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uri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</w:p>
          <w:p w14:paraId="5F7B080B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</w:pP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Organizații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învățământ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superior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și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cercetare</w:t>
            </w:r>
            <w:proofErr w:type="spellEnd"/>
          </w:p>
          <w:p w14:paraId="0DF06C7C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</w:pP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Centru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educație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/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formare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și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școală</w:t>
            </w:r>
            <w:proofErr w:type="spellEnd"/>
          </w:p>
          <w:p w14:paraId="5B7E8665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</w:pP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Organizații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sprijin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pentru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afaceri</w:t>
            </w:r>
            <w:proofErr w:type="spellEnd"/>
          </w:p>
          <w:p w14:paraId="1FF6B71F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</w:pP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Grupări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Europene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Cooperare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Teritorială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(GECT)</w:t>
            </w:r>
          </w:p>
          <w:p w14:paraId="56DBDF5A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</w:pPr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Spitale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și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centre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medicale</w:t>
            </w:r>
            <w:proofErr w:type="spellEnd"/>
          </w:p>
          <w:p w14:paraId="4C145749" w14:textId="77777777" w:rsidR="00D44526" w:rsidRPr="0033596B" w:rsidRDefault="00D44526" w:rsidP="00D4452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</w:pPr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Alte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organizații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relevante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pentru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fiecare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obiectiv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specific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inclus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în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apel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57252" w14:textId="77777777" w:rsidR="00D44526" w:rsidRPr="00586621" w:rsidRDefault="00D44526" w:rsidP="00586621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</w:pPr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-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Prioritatea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2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Dezvoltare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socială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transfrontalieră</w:t>
            </w:r>
            <w:proofErr w:type="spellEnd"/>
          </w:p>
          <w:p w14:paraId="25DF95B9" w14:textId="77777777" w:rsidR="00D44526" w:rsidRPr="00586621" w:rsidRDefault="00D44526" w:rsidP="00586621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</w:pP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Activități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eligibile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aferente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OS 2.1: 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Achiziția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echipamente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pentru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infrastructura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educațională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inclusiv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servicii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amenajare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a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spațiului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/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terenului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unde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urmează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fie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instalate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echipamentele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pentru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a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asigura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condițiile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materiale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necesare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unui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proces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educațional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calitate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pentru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a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crește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participarea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la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procesele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educaționale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cu un accent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puternic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pe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accesibilitatea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pentru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persoanele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cu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dizabilități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;</w:t>
            </w:r>
          </w:p>
          <w:p w14:paraId="0D7F9D32" w14:textId="77777777" w:rsidR="00D44526" w:rsidRPr="00586621" w:rsidRDefault="00D44526" w:rsidP="00586621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</w:pP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Investiții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în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hardware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software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necesare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pentru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dezvoltarea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competențelor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digitale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;</w:t>
            </w:r>
          </w:p>
          <w:p w14:paraId="73BE4979" w14:textId="77777777" w:rsidR="00D44526" w:rsidRPr="00586621" w:rsidRDefault="00D44526" w:rsidP="00586621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</w:pP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Elaborarea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planuri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strategii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comune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educație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învățare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programe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formare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mentorat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;</w:t>
            </w:r>
          </w:p>
          <w:p w14:paraId="66159DA4" w14:textId="77777777" w:rsidR="00D44526" w:rsidRPr="00586621" w:rsidRDefault="00D44526" w:rsidP="00586621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</w:pP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Dezvoltarea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parteneriate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între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instituții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formare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educație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organizații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ale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societății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civile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specializate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pentru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a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sprijini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învățarea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comună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schimbul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bune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practici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între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cadre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didactice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/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profesioniști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din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educație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pe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ambele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părți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ale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frontierei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;</w:t>
            </w:r>
          </w:p>
          <w:p w14:paraId="664D91FD" w14:textId="77777777" w:rsidR="00D44526" w:rsidRPr="00586621" w:rsidRDefault="00D44526" w:rsidP="00586621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</w:pP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Dezvoltarea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inițiative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comune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care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sprijină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educația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formarea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adulților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inclusiv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programe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mobilitate</w:t>
            </w:r>
            <w:proofErr w:type="spellEnd"/>
          </w:p>
          <w:p w14:paraId="48E688F3" w14:textId="77777777" w:rsidR="00D44526" w:rsidRPr="00D44526" w:rsidRDefault="00D44526" w:rsidP="00586621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</w:pPr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.</w:t>
            </w:r>
            <w:r w:rsidRPr="00586621">
              <w:rPr>
                <w:sz w:val="15"/>
                <w:szCs w:val="15"/>
              </w:rPr>
              <w:t xml:space="preserve"> -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Prioritatea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3.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Cooperarea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transfrontalierActivități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eligibile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aferente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OS 3.1: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Dezvoltarea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implementarea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măsuri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pentru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consolidarea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capacităților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instituționale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ale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autorităților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publice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inclusiv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servicii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amenajare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a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spațiului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/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terenului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unde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va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fi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instalat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echipamentul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dacă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este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cazul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;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Schimb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experiență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elaborarea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comună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ghiduri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proceduri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pentru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îmbunătățirea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evaluării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prevenirii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pregătirii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răspunsului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în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caz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pandemii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boli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infecțioase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emergente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sau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alte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crize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neprevăzute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;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Elaborarea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politici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strategii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comune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pentru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asigurarea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unei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mobilități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eficiente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la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frontieră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inclusiv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în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domeniul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migrației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al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coordonării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planurilor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dezvoltare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a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transportului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transfrontalier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;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Investiții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în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echipamente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pentru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mobilitatea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eficientă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a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bunurilor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persoanelor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la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frontieră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inclusiv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servicii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amenajare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a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spațiului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/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terenului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unde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va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fi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instalat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echipamentul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;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Acțiuni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comune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pentru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creșterea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eficienței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administrației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publice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cooperarea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între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cetățeni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societatea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civilă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și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instituții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prin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investiții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în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metode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tehnologii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proceduri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ultimă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generație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etc.,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inclusiv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servicii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de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amenajare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a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spațiului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/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terenului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unde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va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fi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instalat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echipamentul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,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dacă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este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 xml:space="preserve"> </w:t>
            </w:r>
            <w:proofErr w:type="spellStart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cazul</w:t>
            </w:r>
            <w:proofErr w:type="spellEnd"/>
            <w:r w:rsidRPr="00586621">
              <w:rPr>
                <w:rFonts w:asciiTheme="majorBidi" w:eastAsia="Times New Roman" w:hAnsiTheme="majorBidi" w:cstheme="majorBidi"/>
                <w:color w:val="333333"/>
                <w:sz w:val="15"/>
                <w:szCs w:val="15"/>
                <w:lang w:val="en-US" w:eastAsia="en-US" w:bidi="he-IL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0BDA6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</w:pP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Valoarea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finanțării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este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de:</w:t>
            </w:r>
          </w:p>
          <w:p w14:paraId="36186E4F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</w:pPr>
          </w:p>
          <w:p w14:paraId="624CA0D8" w14:textId="77777777" w:rsidR="00D44526" w:rsidRPr="00D44526" w:rsidRDefault="00D44526" w:rsidP="00D44526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</w:pP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între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250.000 - 400.000 euro </w:t>
            </w: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pentru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Dezvoltare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socială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transfrontalieră</w:t>
            </w:r>
            <w:proofErr w:type="spellEnd"/>
          </w:p>
          <w:p w14:paraId="30C357A2" w14:textId="77777777" w:rsidR="00D44526" w:rsidRDefault="00D44526" w:rsidP="00D44526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</w:pP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între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200.000 - 800.000 euro </w:t>
            </w: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pentru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Cooperarea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transfrontalieră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.</w:t>
            </w:r>
          </w:p>
          <w:p w14:paraId="5105C189" w14:textId="77777777" w:rsidR="00D44526" w:rsidRDefault="00D44526" w:rsidP="00D44526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</w:pPr>
          </w:p>
          <w:p w14:paraId="64DE7CE2" w14:textId="77777777" w:rsidR="00D44526" w:rsidRPr="0033596B" w:rsidRDefault="00D44526" w:rsidP="00D44526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</w:pP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Alocarea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financiară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totală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disponibilă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este</w:t>
            </w:r>
            <w:proofErr w:type="spellEnd"/>
            <w:r w:rsidRPr="00D44526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de 15.605.083 de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9DB51" w14:textId="77777777" w:rsidR="00D44526" w:rsidRPr="0033596B" w:rsidRDefault="00D44526" w:rsidP="0033596B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445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Procentul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cofinanțare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partea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solicitanților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445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 w:rsidRPr="00D445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minim 10%.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F9DDF" w14:textId="77777777" w:rsidR="00D44526" w:rsidRPr="0033596B" w:rsidRDefault="001E1815" w:rsidP="007D354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181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28 </w:t>
            </w:r>
            <w:proofErr w:type="spellStart"/>
            <w:r w:rsidRPr="001E181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iulie</w:t>
            </w:r>
            <w:proofErr w:type="spellEnd"/>
            <w:r w:rsidRPr="001E181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2025 </w:t>
            </w:r>
            <w:proofErr w:type="spellStart"/>
            <w:r w:rsidRPr="001E181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1E181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14:00.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00285FFD" w14:textId="77777777" w:rsidR="00D44526" w:rsidRDefault="001E1815" w:rsidP="00830DD7">
            <w:pPr>
              <w:autoSpaceDE w:val="0"/>
              <w:spacing w:after="0" w:line="240" w:lineRule="auto"/>
            </w:pPr>
            <w:hyperlink r:id="rId8" w:history="1">
              <w:r w:rsidRPr="00A247E6">
                <w:rPr>
                  <w:rStyle w:val="Hyperlink"/>
                </w:rPr>
                <w:t>https://www.fonduri-structurale.ro/finantari/1791/al-doilea-apel-pentru-proiecte-cu-valoare-mica-small-scale-projects</w:t>
              </w:r>
            </w:hyperlink>
          </w:p>
          <w:p w14:paraId="27F71692" w14:textId="77777777" w:rsidR="001E1815" w:rsidRDefault="001E1815" w:rsidP="00830DD7">
            <w:pPr>
              <w:autoSpaceDE w:val="0"/>
              <w:spacing w:after="0" w:line="240" w:lineRule="auto"/>
            </w:pPr>
          </w:p>
        </w:tc>
      </w:tr>
      <w:tr w:rsidR="00EF70D8" w14:paraId="12CF64F3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AF050" w14:textId="77777777" w:rsidR="00EF70D8" w:rsidRDefault="00B83857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85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Comisia Europeană</w:t>
            </w:r>
          </w:p>
          <w:p w14:paraId="57021224" w14:textId="77777777" w:rsidR="00B83857" w:rsidRDefault="00B83857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ECA32" w14:textId="77777777" w:rsidR="00B83857" w:rsidRDefault="00B83857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F8ED8" w14:textId="77777777" w:rsidR="00B83857" w:rsidRDefault="00B83857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857">
              <w:rPr>
                <w:rFonts w:ascii="Times New Roman" w:hAnsi="Times New Roman" w:cs="Times New Roman"/>
                <w:b/>
                <w:sz w:val="18"/>
                <w:szCs w:val="18"/>
              </w:rPr>
              <w:t>Programul Cetățeni, Egalitate, Drepturi și Valori (CEDV)</w:t>
            </w:r>
          </w:p>
          <w:p w14:paraId="11B7D488" w14:textId="77777777" w:rsidR="00B83857" w:rsidRDefault="00B83857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113C9" w14:textId="77777777" w:rsidR="00B83857" w:rsidRDefault="00B83857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0F092" w14:textId="77777777" w:rsidR="00B83857" w:rsidRDefault="00B83857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59CFC0" w14:textId="77777777" w:rsidR="00B83857" w:rsidRPr="0033596B" w:rsidRDefault="00B83857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857">
              <w:rPr>
                <w:rFonts w:ascii="Times New Roman" w:hAnsi="Times New Roman" w:cs="Times New Roman"/>
                <w:b/>
                <w:sz w:val="18"/>
                <w:szCs w:val="18"/>
              </w:rPr>
              <w:t>Apel 2025 - Finanțare privind înfrățirea între localități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3FA3B" w14:textId="77777777" w:rsidR="00EF70D8" w:rsidRPr="007839A9" w:rsidRDefault="00E9148E" w:rsidP="00991AC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9148E">
              <w:rPr>
                <w:rFonts w:ascii="Times New Roman" w:hAnsi="Times New Roman" w:cs="Times New Roman"/>
                <w:shd w:val="clear" w:color="auto" w:fill="FFFFFF"/>
              </w:rPr>
              <w:t>Apelul de proiecte vizează colaborări între orașe, finanțând inițiative care promovează valori europene, egalitate de gen și prevenirea discriminării.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3581E" w14:textId="77777777" w:rsidR="00EF70D8" w:rsidRPr="0033596B" w:rsidRDefault="00E9148E" w:rsidP="00E9148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="36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</w:pP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Solicitantul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principal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partenerii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săi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asociați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trebuie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să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fie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organisme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sau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organizații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non-profit cu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personalitate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juridică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stabilită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în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mod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oficial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într-una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dintre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țările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eligibile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.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Acestea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trebuie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să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fie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orașe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/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municipii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/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sau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alte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niveluri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ale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autorităților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locale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sau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comitetele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lor de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înfrățire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sau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alte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organizații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non-profit care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reprezintă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autoritățile</w:t>
            </w:r>
            <w:proofErr w:type="spellEnd"/>
            <w:r w:rsidRPr="00E9148E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locale.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83098" w14:textId="77777777" w:rsidR="007F5122" w:rsidRPr="007F5122" w:rsidRDefault="007F5122" w:rsidP="007F5122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seminarii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,</w:t>
            </w:r>
          </w:p>
          <w:p w14:paraId="216D0BD1" w14:textId="77777777" w:rsidR="007F5122" w:rsidRPr="007F5122" w:rsidRDefault="007F5122" w:rsidP="007F5122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conferințe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,</w:t>
            </w:r>
          </w:p>
          <w:p w14:paraId="6F6B072C" w14:textId="77777777" w:rsidR="007F5122" w:rsidRPr="007F5122" w:rsidRDefault="007F5122" w:rsidP="007F5122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activitati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instruire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,</w:t>
            </w:r>
          </w:p>
          <w:p w14:paraId="77FF104D" w14:textId="77777777" w:rsidR="007F5122" w:rsidRPr="007F5122" w:rsidRDefault="007F5122" w:rsidP="007F5122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întâlniri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experți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,</w:t>
            </w:r>
          </w:p>
          <w:p w14:paraId="0F215AC7" w14:textId="77777777" w:rsidR="007F5122" w:rsidRPr="007F5122" w:rsidRDefault="007F5122" w:rsidP="007F5122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webinarii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,</w:t>
            </w:r>
          </w:p>
          <w:p w14:paraId="0DA44110" w14:textId="77777777" w:rsidR="007F5122" w:rsidRPr="007F5122" w:rsidRDefault="007F5122" w:rsidP="007F5122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activitati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conștientizare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,</w:t>
            </w:r>
          </w:p>
          <w:p w14:paraId="7160C233" w14:textId="77777777" w:rsidR="007F5122" w:rsidRPr="007F5122" w:rsidRDefault="007F5122" w:rsidP="007F5122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evenimente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culturale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festivaluri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expoziții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,</w:t>
            </w:r>
          </w:p>
          <w:p w14:paraId="280711FE" w14:textId="77777777" w:rsidR="007F5122" w:rsidRPr="007F5122" w:rsidRDefault="007F5122" w:rsidP="007F5122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colectarea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consultarea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datelor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,</w:t>
            </w:r>
          </w:p>
          <w:p w14:paraId="324A13AB" w14:textId="77777777" w:rsidR="007F5122" w:rsidRPr="007F5122" w:rsidRDefault="007F5122" w:rsidP="007F5122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dezvoltarea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schimburile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diseminarea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bune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practici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între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autoritățile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organizațiile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societății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civile,</w:t>
            </w:r>
          </w:p>
          <w:p w14:paraId="5EE14B28" w14:textId="77777777" w:rsidR="007F5122" w:rsidRPr="007F5122" w:rsidRDefault="007F5122" w:rsidP="007F5122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dezvoltarea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instrumentelor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comunicare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utilizarea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rețelelor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sociale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.</w:t>
            </w:r>
          </w:p>
          <w:p w14:paraId="040D14AD" w14:textId="77777777" w:rsidR="00EF70D8" w:rsidRPr="007839A9" w:rsidRDefault="007F5122" w:rsidP="007F5122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</w:pP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Evenimentele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Town-Twinning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trebuie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să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implice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minim 50 de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participanți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direcți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dintre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care minim 25 de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participanți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sunt „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participanți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internaționali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invitați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”. „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Participanți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internaționali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invitați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” sunt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delegații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ale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partenerilor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asociați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care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călătoresc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dintr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-o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țară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în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altă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țară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care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găzduiesc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un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eveniment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înfrățire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între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orașe</w:t>
            </w:r>
            <w:proofErr w:type="spellEnd"/>
            <w:r w:rsidRPr="007F512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EEDD8" w14:textId="77777777" w:rsidR="00EF70D8" w:rsidRPr="00DA365F" w:rsidRDefault="007F5122" w:rsidP="007A2EDF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</w:pP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Bugetele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proiectelor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trebuie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să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situeze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între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8.455 euro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și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50.745 euro per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proiect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.</w:t>
            </w:r>
          </w:p>
          <w:p w14:paraId="77572566" w14:textId="77777777" w:rsidR="007F5122" w:rsidRPr="00DA365F" w:rsidRDefault="007F5122" w:rsidP="007A2EDF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</w:pP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Alocarea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financiară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este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de 5.000.000 euro.</w:t>
            </w:r>
          </w:p>
          <w:p w14:paraId="6542A127" w14:textId="77777777" w:rsidR="007F5122" w:rsidRPr="00DA365F" w:rsidRDefault="007F5122" w:rsidP="007A2EDF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</w:pP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Grantul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va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fi o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sumă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forfetară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. Suma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va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fi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fixată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autoritatea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care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acordă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finanțarea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pe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baza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sumelor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variabile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pe care le-a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prefixat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și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estimărilor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indicate de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beneficiari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în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bugetul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proiectului</w:t>
            </w:r>
            <w:proofErr w:type="spellEnd"/>
            <w:r w:rsidRPr="00DA365F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.</w:t>
            </w:r>
          </w:p>
          <w:p w14:paraId="482D52F9" w14:textId="77777777" w:rsidR="007F5122" w:rsidRPr="007839A9" w:rsidRDefault="007F5122" w:rsidP="007A2EDF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F353" w14:textId="77777777" w:rsidR="00EF70D8" w:rsidRPr="00DA365F" w:rsidRDefault="004173F6" w:rsidP="0033596B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Grantul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o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sumă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forfetară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Suma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fixată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autoritatea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acordă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finanțarea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baza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sumelor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variabile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pe care le-a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prefixat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estimărilor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indicate de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beneficiari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bugetul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DA36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77AF7" w14:textId="77777777" w:rsidR="00EF70D8" w:rsidRPr="007839A9" w:rsidRDefault="007F5122" w:rsidP="007D354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F512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17 </w:t>
            </w:r>
            <w:proofErr w:type="spellStart"/>
            <w:r w:rsidRPr="007F512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septembrie</w:t>
            </w:r>
            <w:proofErr w:type="spellEnd"/>
            <w:r w:rsidRPr="007F512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2025, </w:t>
            </w:r>
            <w:proofErr w:type="spellStart"/>
            <w:r w:rsidRPr="007F512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7F512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17:00 CET (Brussels)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118517F8" w14:textId="77777777" w:rsidR="00EF70D8" w:rsidRDefault="004173F6" w:rsidP="00830DD7">
            <w:pPr>
              <w:autoSpaceDE w:val="0"/>
              <w:spacing w:after="0" w:line="240" w:lineRule="auto"/>
            </w:pPr>
            <w:hyperlink r:id="rId9" w:history="1">
              <w:r w:rsidRPr="004862B1">
                <w:rPr>
                  <w:rStyle w:val="Hyperlink"/>
                </w:rPr>
                <w:t>https://www.fonduri-structurale.ro/finantari/1494/apel-2025-finantare-privind-infratirea-intre-localitati</w:t>
              </w:r>
            </w:hyperlink>
          </w:p>
          <w:p w14:paraId="39F54E73" w14:textId="77777777" w:rsidR="004173F6" w:rsidRDefault="004173F6" w:rsidP="00830DD7">
            <w:pPr>
              <w:autoSpaceDE w:val="0"/>
              <w:spacing w:after="0" w:line="240" w:lineRule="auto"/>
            </w:pPr>
          </w:p>
        </w:tc>
      </w:tr>
      <w:tr w:rsidR="006A1F2B" w14:paraId="603EF78C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08995" w14:textId="77777777" w:rsidR="006A1F2B" w:rsidRDefault="006A1F2B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1F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Ministerul Investițiilor și Proiectelor Europene</w:t>
            </w:r>
          </w:p>
          <w:p w14:paraId="478AE1A9" w14:textId="77777777" w:rsidR="006A1F2B" w:rsidRDefault="006A1F2B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FFE3A4" w14:textId="77777777" w:rsidR="006A1F2B" w:rsidRDefault="006A1F2B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1F2B">
              <w:rPr>
                <w:rFonts w:ascii="Times New Roman" w:hAnsi="Times New Roman" w:cs="Times New Roman"/>
                <w:b/>
                <w:sz w:val="18"/>
                <w:szCs w:val="18"/>
              </w:rPr>
              <w:t>Programul Creștere Inteligentă, Digitalizare și Instrumente Financiare</w:t>
            </w:r>
          </w:p>
          <w:p w14:paraId="34CCDCDA" w14:textId="77777777" w:rsidR="006A1F2B" w:rsidRDefault="006A1F2B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415B9B" w14:textId="77777777" w:rsidR="006A1F2B" w:rsidRPr="006944B6" w:rsidRDefault="006A1F2B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1F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Servicii publice destinate cetățenilor și/sau firmelor identificate în CSP gestionat de ADR și/sau în </w:t>
            </w:r>
            <w:proofErr w:type="spellStart"/>
            <w:r w:rsidRPr="006A1F2B">
              <w:rPr>
                <w:rFonts w:ascii="Times New Roman" w:hAnsi="Times New Roman" w:cs="Times New Roman"/>
                <w:b/>
                <w:sz w:val="18"/>
                <w:szCs w:val="18"/>
              </w:rPr>
              <w:t>concordață</w:t>
            </w:r>
            <w:proofErr w:type="spellEnd"/>
            <w:r w:rsidRPr="006A1F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 Politica e-</w:t>
            </w:r>
            <w:proofErr w:type="spellStart"/>
            <w:r w:rsidRPr="006A1F2B">
              <w:rPr>
                <w:rFonts w:ascii="Times New Roman" w:hAnsi="Times New Roman" w:cs="Times New Roman"/>
                <w:b/>
                <w:sz w:val="18"/>
                <w:szCs w:val="18"/>
              </w:rPr>
              <w:t>Guv</w:t>
            </w:r>
            <w:proofErr w:type="spellEnd"/>
            <w:r w:rsidRPr="006A1F2B">
              <w:rPr>
                <w:rFonts w:ascii="Times New Roman" w:hAnsi="Times New Roman" w:cs="Times New Roman"/>
                <w:b/>
                <w:sz w:val="18"/>
                <w:szCs w:val="18"/>
              </w:rPr>
              <w:t>- proiect etapizat Nr.1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1CEF" w14:textId="77777777" w:rsidR="006A1F2B" w:rsidRPr="00415441" w:rsidRDefault="006A1F2B" w:rsidP="00991AC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A1F2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de proiecte vizează implementarea serviciilor publice electronice în administrația publică centrală și instituțiile publice pentru a sprijini cetățenii și companiile în beneficiul lor.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6A535" w14:textId="77777777" w:rsidR="006A1F2B" w:rsidRDefault="006A1F2B" w:rsidP="006A1F2B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</w:pP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Categorii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solicitanți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eligibili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:</w:t>
            </w:r>
          </w:p>
          <w:p w14:paraId="58ECDEC9" w14:textId="77777777" w:rsidR="006A1F2B" w:rsidRDefault="006A1F2B" w:rsidP="006A1F2B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Autorități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publice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centrale,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instituții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publice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centrale</w:t>
            </w: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,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alte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entități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care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gestionează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servicii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publice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destinate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cetățenilor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/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sau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firmelor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identificate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în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CSP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gestionat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de ADR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/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sau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în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concordață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cu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Politica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eGuv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. </w:t>
            </w:r>
          </w:p>
          <w:p w14:paraId="122B9AAA" w14:textId="77777777" w:rsidR="006A1F2B" w:rsidRDefault="006A1F2B" w:rsidP="006A1F2B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</w:pP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Categorii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parteneri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eligibili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:</w:t>
            </w:r>
          </w:p>
          <w:p w14:paraId="2DD936D6" w14:textId="77777777" w:rsidR="006A1F2B" w:rsidRDefault="006A1F2B" w:rsidP="006A1F2B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Autorități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publice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centrale,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instituții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publice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central</w:t>
            </w: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e,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mediul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academic,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alte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entități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care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gestionează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servicii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publice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destinate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cetățenilor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/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sau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firmelor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identificate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în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CSP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gestionat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de ADR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/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sau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în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concordață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cu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Politica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eGuv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 w:bidi="he-IL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989BC" w14:textId="77777777" w:rsidR="006A1F2B" w:rsidRPr="006A1F2B" w:rsidRDefault="006A1F2B" w:rsidP="006A1F2B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Activitățile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finanțate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sunt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cele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care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vizează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digitalizarea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dezvoltarea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serviciilor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electronice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.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Acestea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includ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implementarea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dezvoltarea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serviciilor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electronice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, precum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îmbunătățirea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creșterea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gradului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sofisticare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a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serviciilor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electronice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existente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. </w:t>
            </w:r>
          </w:p>
          <w:p w14:paraId="4BC5AA8B" w14:textId="77777777" w:rsidR="006A1F2B" w:rsidRPr="006A1F2B" w:rsidRDefault="006A1F2B" w:rsidP="006A1F2B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</w:p>
          <w:p w14:paraId="792C67A4" w14:textId="77777777" w:rsidR="006A1F2B" w:rsidRPr="00415441" w:rsidRDefault="006A1F2B" w:rsidP="006A1F2B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Scopul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este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de a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asigura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interacțiuni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administrative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eficiente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de a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oferi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cetățenilor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mediului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afaceri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acces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facil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la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serviciile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indiferent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tipul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serviciu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sau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instituția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cu care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interacționează</w:t>
            </w:r>
            <w:proofErr w:type="spellEnd"/>
            <w:r w:rsidRPr="006A1F2B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0FF61" w14:textId="77777777" w:rsidR="006A1F2B" w:rsidRPr="006A1F2B" w:rsidRDefault="006A1F2B" w:rsidP="006A1F2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</w:pP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Bugetul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prezentului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apel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este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de </w:t>
            </w: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-</w:t>
            </w:r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191.984.142,30 euro (FEDR+BS) din care:</w:t>
            </w:r>
          </w:p>
          <w:p w14:paraId="50A20F5E" w14:textId="77777777" w:rsidR="006A1F2B" w:rsidRPr="006A1F2B" w:rsidRDefault="006A1F2B" w:rsidP="006A1F2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</w:pPr>
          </w:p>
          <w:p w14:paraId="74346EE6" w14:textId="77777777" w:rsidR="006A1F2B" w:rsidRPr="00415441" w:rsidRDefault="006A1F2B" w:rsidP="006A1F2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</w:pPr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149.104.693,25 euro FEDR,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respectiv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946.635.407 lei (FEDR+BS) la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cursul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>infoeuro</w:t>
            </w:r>
            <w:proofErr w:type="spellEnd"/>
            <w:r w:rsidRPr="006A1F2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en-US"/>
              </w:rPr>
              <w:t xml:space="preserve"> din luna august: 1euro=4,9308 lei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F6106" w14:textId="77777777" w:rsidR="006A1F2B" w:rsidRPr="006A1F2B" w:rsidRDefault="006A1F2B" w:rsidP="006A1F2B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Contribuția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solicitantului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realiza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baza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unei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pro-rata la </w:t>
            </w: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nivel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regiuni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0989D336" w14:textId="77777777" w:rsidR="006A1F2B" w:rsidRPr="006A1F2B" w:rsidRDefault="006A1F2B" w:rsidP="006A1F2B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077882A8" w14:textId="77777777" w:rsidR="006A1F2B" w:rsidRPr="006A1F2B" w:rsidRDefault="006A1F2B" w:rsidP="006A1F2B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București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-Ilfov - 11.92%</w:t>
            </w:r>
          </w:p>
          <w:p w14:paraId="353917D0" w14:textId="77777777" w:rsidR="006A1F2B" w:rsidRPr="00415441" w:rsidRDefault="006A1F2B" w:rsidP="006A1F2B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cele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7 </w:t>
            </w: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regiuni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puțin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dezvoltate</w:t>
            </w:r>
            <w:proofErr w:type="spellEnd"/>
            <w:r w:rsidRPr="006A1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- 88.08%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3438D" w14:textId="77777777" w:rsidR="006A1F2B" w:rsidRPr="00415441" w:rsidRDefault="00AA08F1" w:rsidP="0041544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A08F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31 </w:t>
            </w:r>
            <w:proofErr w:type="spellStart"/>
            <w:r w:rsidRPr="00AA08F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Iulie</w:t>
            </w:r>
            <w:proofErr w:type="spellEnd"/>
            <w:r w:rsidRPr="00AA08F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2025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175372E2" w14:textId="77777777" w:rsidR="006A1F2B" w:rsidRDefault="00A43E2F" w:rsidP="00C36063">
            <w:pPr>
              <w:autoSpaceDE w:val="0"/>
              <w:spacing w:after="0" w:line="240" w:lineRule="auto"/>
            </w:pPr>
            <w:hyperlink r:id="rId10" w:history="1">
              <w:r w:rsidRPr="00A12F28">
                <w:rPr>
                  <w:rStyle w:val="Hyperlink"/>
                </w:rPr>
                <w:t>https://www.fonduri-structurale.ro/finantari/214/servicii-publice-destinate-cetatenilor-si-sau-firmelor-identificate-in-csp-gestionat-de-adr-si-sau-in-concordata-cu-politica-e-guv</w:t>
              </w:r>
            </w:hyperlink>
          </w:p>
          <w:p w14:paraId="776B08D6" w14:textId="77777777" w:rsidR="00A43E2F" w:rsidRDefault="00A43E2F" w:rsidP="00C36063">
            <w:pPr>
              <w:autoSpaceDE w:val="0"/>
              <w:spacing w:after="0" w:line="240" w:lineRule="auto"/>
            </w:pPr>
          </w:p>
        </w:tc>
      </w:tr>
      <w:tr w:rsidR="00121542" w14:paraId="6233206E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B8ECC" w14:textId="77777777" w:rsidR="00151834" w:rsidRDefault="00F10876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087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Ministerul Investițiilor și Proiectelor Europene</w:t>
            </w:r>
          </w:p>
          <w:p w14:paraId="52921940" w14:textId="77777777" w:rsidR="00F10876" w:rsidRDefault="00F10876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DF90BB" w14:textId="77777777" w:rsidR="00F10876" w:rsidRDefault="00F10876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0876">
              <w:rPr>
                <w:rFonts w:ascii="Times New Roman" w:hAnsi="Times New Roman" w:cs="Times New Roman"/>
                <w:b/>
                <w:sz w:val="18"/>
                <w:szCs w:val="18"/>
              </w:rPr>
              <w:t>Programul Incluziune și Demnitate Socială</w:t>
            </w:r>
          </w:p>
          <w:p w14:paraId="20C01FAA" w14:textId="77777777" w:rsidR="00F10876" w:rsidRDefault="00F10876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8B8C69" w14:textId="77777777" w:rsidR="00F10876" w:rsidRPr="003511C7" w:rsidRDefault="00F10876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0876">
              <w:rPr>
                <w:rFonts w:ascii="Times New Roman" w:hAnsi="Times New Roman" w:cs="Times New Roman"/>
                <w:b/>
                <w:sz w:val="18"/>
                <w:szCs w:val="18"/>
              </w:rPr>
              <w:t>Sprijinirea copiilor și tinerilor în procesul de dezinstituționalizare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64ED7" w14:textId="77777777" w:rsidR="00121542" w:rsidRPr="00D84558" w:rsidRDefault="00F10876" w:rsidP="00991AC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1087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de proiecte oferă granturi nerambursabile pentru dezvoltarea serviciilor de tranziție către viața independentă a copiilor și tinerilor din sistemul de protecție specială.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B7EE0" w14:textId="77777777" w:rsidR="00150244" w:rsidRPr="00150244" w:rsidRDefault="00150244" w:rsidP="00150244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Beneficiari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eligibili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:</w:t>
            </w:r>
          </w:p>
          <w:p w14:paraId="0B1F1904" w14:textId="77777777" w:rsidR="00150244" w:rsidRPr="00150244" w:rsidRDefault="00150244" w:rsidP="00150244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Furnizori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servicii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sociale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acreditați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publici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privați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; </w:t>
            </w:r>
          </w:p>
          <w:p w14:paraId="430F666D" w14:textId="77777777" w:rsidR="00150244" w:rsidRPr="00150244" w:rsidRDefault="00150244" w:rsidP="00150244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Autorități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locale cu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atribuții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în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domeniul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respectării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drepturilor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copiilor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şi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protecției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speciale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a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acestora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; </w:t>
            </w:r>
          </w:p>
          <w:p w14:paraId="40D9485E" w14:textId="77777777" w:rsidR="00150244" w:rsidRPr="00150244" w:rsidRDefault="00150244" w:rsidP="00150244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Furnizori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servicii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specializate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pentru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stimularea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ocupării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forței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muncă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publici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privați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; </w:t>
            </w:r>
          </w:p>
          <w:p w14:paraId="6ABA1477" w14:textId="77777777" w:rsidR="00150244" w:rsidRPr="00150244" w:rsidRDefault="00150244" w:rsidP="00150244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Furnizori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formare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profesională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publici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privați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.</w:t>
            </w:r>
          </w:p>
          <w:p w14:paraId="7FAFFCA8" w14:textId="77777777" w:rsidR="00121542" w:rsidRPr="000C0AA2" w:rsidRDefault="00150244" w:rsidP="00150244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Parteneriate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între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entitățile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mai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sus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menționate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CBAA9" w14:textId="77777777" w:rsidR="00150244" w:rsidRDefault="00150244" w:rsidP="00150244">
            <w:pPr>
              <w:pStyle w:val="Listparagraf"/>
              <w:numPr>
                <w:ilvl w:val="0"/>
                <w:numId w:val="25"/>
              </w:num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Activitatea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1.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Dezvoltarea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deprinderilor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abilităților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pentru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viața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independentă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(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activitate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relevantă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obligatorie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).</w:t>
            </w:r>
          </w:p>
          <w:p w14:paraId="5511A229" w14:textId="77777777" w:rsidR="00150244" w:rsidRPr="00150244" w:rsidRDefault="00150244" w:rsidP="003E79A0">
            <w:pPr>
              <w:pStyle w:val="Listparagraf"/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</w:p>
          <w:p w14:paraId="2086E4A6" w14:textId="77777777" w:rsidR="00150244" w:rsidRDefault="00150244" w:rsidP="00150244">
            <w:pPr>
              <w:pStyle w:val="Listparagraf"/>
              <w:numPr>
                <w:ilvl w:val="0"/>
                <w:numId w:val="25"/>
              </w:num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Activitatea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2.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Sprijin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pentru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integrarea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pe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piața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muncii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(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activitate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relevantă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obligatorie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).</w:t>
            </w:r>
          </w:p>
          <w:p w14:paraId="71FE8167" w14:textId="77777777" w:rsidR="003E79A0" w:rsidRPr="00150244" w:rsidRDefault="003E79A0" w:rsidP="003E79A0">
            <w:pPr>
              <w:pStyle w:val="Listparagraf"/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</w:p>
          <w:p w14:paraId="4BB74919" w14:textId="77777777" w:rsidR="00150244" w:rsidRDefault="00150244" w:rsidP="00150244">
            <w:pPr>
              <w:pStyle w:val="Listparagraf"/>
              <w:numPr>
                <w:ilvl w:val="0"/>
                <w:numId w:val="25"/>
              </w:num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Activitatea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3.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Sprijin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acordat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tinerilor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care au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părăsit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sistemul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instituționalizat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protecție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a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copilului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prin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acordarea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sprijin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financiar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pentru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asigurarea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unei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locuințe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a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plății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utilităților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(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activitate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relevantă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obligatorie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).</w:t>
            </w:r>
          </w:p>
          <w:p w14:paraId="517C2783" w14:textId="77777777" w:rsidR="003E79A0" w:rsidRPr="00150244" w:rsidRDefault="003E79A0" w:rsidP="003E79A0">
            <w:pPr>
              <w:pStyle w:val="Listparagraf"/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</w:p>
          <w:p w14:paraId="2304A7DB" w14:textId="77777777" w:rsidR="00121542" w:rsidRPr="00150244" w:rsidRDefault="00150244" w:rsidP="00150244">
            <w:pPr>
              <w:pStyle w:val="Listparagraf"/>
              <w:numPr>
                <w:ilvl w:val="0"/>
                <w:numId w:val="25"/>
              </w:num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Activitatea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4.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Promovarea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tinerilor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în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societate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(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activitate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relevantă</w:t>
            </w:r>
            <w:proofErr w:type="spellEnd"/>
            <w:r w:rsidRPr="00150244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).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8392E" w14:textId="77777777" w:rsidR="00121542" w:rsidRPr="000F0E69" w:rsidRDefault="003E79A0" w:rsidP="006A1F2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</w:pPr>
            <w:proofErr w:type="spellStart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Valoarea</w:t>
            </w:r>
            <w:proofErr w:type="spellEnd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totală</w:t>
            </w:r>
            <w:proofErr w:type="spellEnd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eligibilă</w:t>
            </w:r>
            <w:proofErr w:type="spellEnd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unui</w:t>
            </w:r>
            <w:proofErr w:type="spellEnd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proiect</w:t>
            </w:r>
            <w:proofErr w:type="spellEnd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poate</w:t>
            </w:r>
            <w:proofErr w:type="spellEnd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fi de minim 201.000,00 euro </w:t>
            </w:r>
            <w:proofErr w:type="spellStart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și</w:t>
            </w:r>
            <w:proofErr w:type="spellEnd"/>
            <w:r w:rsidRPr="003E79A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de maximum 1.000.000,00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64B2A" w14:textId="77777777" w:rsidR="003E79A0" w:rsidRPr="003E79A0" w:rsidRDefault="003E79A0" w:rsidP="003E79A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Rata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minimă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cofinanțare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va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fi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stabilită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nivelul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fiecărui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solicitant/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partener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astfel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14:paraId="3A9E5F9A" w14:textId="77777777" w:rsidR="003E79A0" w:rsidRPr="003E79A0" w:rsidRDefault="003E79A0" w:rsidP="003E79A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14:paraId="68C66C83" w14:textId="77777777" w:rsidR="003E79A0" w:rsidRPr="003E79A0" w:rsidRDefault="003E79A0" w:rsidP="003E79A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2%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instituții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finanţate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venituri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proprii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/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parţial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stat,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asigurărilor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sociale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fondurilor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speciale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Instituţii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finanţate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locale,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instituții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locale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finanțate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venituri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proprii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/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finanțate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parțial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locale.</w:t>
            </w:r>
          </w:p>
          <w:p w14:paraId="1F3DC811" w14:textId="77777777" w:rsidR="003E79A0" w:rsidRPr="003E79A0" w:rsidRDefault="003E79A0" w:rsidP="003E79A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între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15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60%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ordonatorii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credite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ai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bugetului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stat,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bugetului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asigurărilor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sociale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şi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ai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bugetelor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fondurilor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speciale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şi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entităţile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aflate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subordine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coordonare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finanţate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acestora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.</w:t>
            </w:r>
          </w:p>
          <w:p w14:paraId="2030EBED" w14:textId="77777777" w:rsidR="003E79A0" w:rsidRPr="003E79A0" w:rsidRDefault="003E79A0" w:rsidP="003E79A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0%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persoanele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juridice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drept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privat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fără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scop patrimonial.</w:t>
            </w:r>
          </w:p>
          <w:p w14:paraId="0FD79BF9" w14:textId="77777777" w:rsidR="003E79A0" w:rsidRPr="003E79A0" w:rsidRDefault="003E79A0" w:rsidP="003E79A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2%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instituţii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învăţământ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preuniversitar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/ superior private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acreditate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.</w:t>
            </w:r>
          </w:p>
          <w:p w14:paraId="5D874DC3" w14:textId="77777777" w:rsidR="00121542" w:rsidRPr="000F0E69" w:rsidRDefault="003E79A0" w:rsidP="003E79A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5%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persoanele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juridice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drept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privat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cu scop patrimonial.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156C" w14:textId="77777777" w:rsidR="00121542" w:rsidRPr="000F0E69" w:rsidRDefault="003E79A0" w:rsidP="003E79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E79A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31.07.2025, </w:t>
            </w:r>
            <w:proofErr w:type="spellStart"/>
            <w:r w:rsidRPr="003E79A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3E79A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16.00.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7FA59311" w14:textId="77777777" w:rsidR="00121542" w:rsidRDefault="003E79A0" w:rsidP="00C36063">
            <w:pPr>
              <w:autoSpaceDE w:val="0"/>
              <w:spacing w:after="0" w:line="240" w:lineRule="auto"/>
            </w:pPr>
            <w:hyperlink r:id="rId11" w:history="1">
              <w:r w:rsidRPr="00A22A7B">
                <w:rPr>
                  <w:rStyle w:val="Hyperlink"/>
                </w:rPr>
                <w:t>https://www.fonduri-structurale.ro/finantari/1515/sprijinirea-copiilor-si-tinerilor-in-procesul-de-dezinstitutionalizare</w:t>
              </w:r>
            </w:hyperlink>
          </w:p>
          <w:p w14:paraId="0E07F448" w14:textId="77777777" w:rsidR="003E79A0" w:rsidRDefault="003E79A0" w:rsidP="00C36063">
            <w:pPr>
              <w:autoSpaceDE w:val="0"/>
              <w:spacing w:after="0" w:line="240" w:lineRule="auto"/>
            </w:pPr>
          </w:p>
        </w:tc>
      </w:tr>
      <w:tr w:rsidR="005B2C40" w14:paraId="1AFB4694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01797" w14:textId="77777777" w:rsidR="005B2C40" w:rsidRDefault="005B2C40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C4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Ministerul Energiei</w:t>
            </w:r>
          </w:p>
          <w:p w14:paraId="0D45F0D2" w14:textId="77777777" w:rsidR="005B2C40" w:rsidRDefault="005B2C40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47085" w14:textId="77777777" w:rsidR="005B2C40" w:rsidRDefault="005B2C40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C40">
              <w:rPr>
                <w:rFonts w:ascii="Times New Roman" w:hAnsi="Times New Roman" w:cs="Times New Roman"/>
                <w:b/>
                <w:sz w:val="18"/>
                <w:szCs w:val="18"/>
              </w:rPr>
              <w:t>Fondul pentru Modernizare</w:t>
            </w:r>
          </w:p>
          <w:p w14:paraId="29CD7C0E" w14:textId="77777777" w:rsidR="005B2C40" w:rsidRDefault="005B2C40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1CE17A" w14:textId="77777777" w:rsidR="005B2C40" w:rsidRPr="00F10876" w:rsidRDefault="005B2C40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C40">
              <w:rPr>
                <w:rFonts w:ascii="Times New Roman" w:hAnsi="Times New Roman" w:cs="Times New Roman"/>
                <w:b/>
                <w:sz w:val="18"/>
                <w:szCs w:val="18"/>
              </w:rPr>
              <w:t>Sprijinirea investițiilor pentru modernizarea/reabilitarea rețelei inteligente de termoficare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2EE99" w14:textId="77777777" w:rsidR="005B2C40" w:rsidRPr="00F10876" w:rsidRDefault="005B2C40" w:rsidP="00991AC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B2C4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de proiecte finanțează investițiile în modernizarea și dezvoltarea rețelei inteligente de termoficare, în cadrul programului-cheie 5: Cogenerare de înaltă eficiență și modernizarea rețelelor de termoficare. Finanțarea urmărește accelerarea tranziției spre neutralitate climatică.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81EED" w14:textId="77777777" w:rsidR="005B2C40" w:rsidRPr="005B2C40" w:rsidRDefault="005B2C40" w:rsidP="005B2C4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</w:pP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Beneficiari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eligibili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:</w:t>
            </w:r>
          </w:p>
          <w:p w14:paraId="1E173E8B" w14:textId="77777777" w:rsidR="005B2C40" w:rsidRPr="005B2C40" w:rsidRDefault="005B2C40" w:rsidP="005B2C4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-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Unități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administrativ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teritoriale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--</w:t>
            </w:r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(UAT)/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subdiviziunile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administrativ-teritoriale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definite la art. 96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urm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. din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Ordonanța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urgență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nr. 57/2019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privind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Codul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administrativ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care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produc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energie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termică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scopul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furnizării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rețeaua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transport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şi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distribuție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/care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dețin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sistemul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distribuție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transport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pentru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asigurarea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Page 6 din 40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serviciului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public de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alimentare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cu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energie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termică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sau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pentru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consumul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propriu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(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pentru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proiecte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tip A-B)</w:t>
            </w:r>
          </w:p>
          <w:p w14:paraId="7CC7292B" w14:textId="77777777" w:rsidR="005B2C40" w:rsidRPr="005B2C40" w:rsidRDefault="005B2C40" w:rsidP="005B2C4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-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Operatori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transport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/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sau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distribuție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a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energiei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termice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definiți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conform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cadrului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legal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vigoare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(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pentru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proiecte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tip A-B)</w:t>
            </w:r>
          </w:p>
          <w:p w14:paraId="7F834C2E" w14:textId="77777777" w:rsidR="005B2C40" w:rsidRPr="005B2C40" w:rsidRDefault="005B2C40" w:rsidP="005B2C4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</w:pP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cazul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care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rețelele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transport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/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sau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distribuție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sunt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proprietatea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statului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potențialii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beneficiari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sunt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persoanele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juridice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concesionari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ai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rețelelor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şi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titulari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ai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licenței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transport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/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sau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distribuție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şi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care au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dreptul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a le 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moderniza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/</w:t>
            </w:r>
            <w:proofErr w:type="spellStart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reabilita</w:t>
            </w:r>
            <w:proofErr w:type="spellEnd"/>
            <w:r w:rsidRPr="005B2C4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E80C3" w14:textId="77777777" w:rsidR="00394056" w:rsidRPr="00394056" w:rsidRDefault="00394056" w:rsidP="0039405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</w:p>
          <w:p w14:paraId="266EA304" w14:textId="77777777" w:rsidR="00394056" w:rsidRPr="00394056" w:rsidRDefault="00A64FF4" w:rsidP="0039405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1.</w:t>
            </w:r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Modernizarea/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reabilitarea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conductelor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transport al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agentului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termic</w:t>
            </w:r>
            <w:proofErr w:type="spellEnd"/>
          </w:p>
          <w:p w14:paraId="7D7092C3" w14:textId="77777777" w:rsidR="00394056" w:rsidRPr="00394056" w:rsidRDefault="00A64FF4" w:rsidP="0039405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2.</w:t>
            </w:r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Modernizarea/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reabilitarea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conductelor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magistrale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transport al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agentului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termic</w:t>
            </w:r>
            <w:proofErr w:type="spellEnd"/>
          </w:p>
          <w:p w14:paraId="62BB3986" w14:textId="77777777" w:rsidR="00394056" w:rsidRPr="00394056" w:rsidRDefault="00A64FF4" w:rsidP="0039405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3.</w:t>
            </w:r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Modernizarea/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reabilitarea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stațiilor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comprimare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agent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termic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stațiilor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comandă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vane,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nodurilor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tehnologice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stațiilor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reglare-măsurare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agent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termic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stațiilor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protecție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catodică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racordurilor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înaltă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presiune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modernizarea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înlocuirea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echipamente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instalații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aferente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acestora</w:t>
            </w:r>
            <w:proofErr w:type="spellEnd"/>
          </w:p>
          <w:p w14:paraId="439ABF18" w14:textId="77777777" w:rsidR="00394056" w:rsidRPr="00394056" w:rsidRDefault="00A64FF4" w:rsidP="0039405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4.</w:t>
            </w:r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Creșterea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securității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furnizării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energiei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termice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reducerea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numărului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întreruperi</w:t>
            </w:r>
            <w:proofErr w:type="spellEnd"/>
          </w:p>
          <w:p w14:paraId="22A1C766" w14:textId="77777777" w:rsidR="00394056" w:rsidRPr="00394056" w:rsidRDefault="00A64FF4" w:rsidP="0039405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5.</w:t>
            </w:r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Modernizarea/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reabilitarea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infrastructurii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energetice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termice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naționale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standarde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europene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aplicabile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domeniu</w:t>
            </w:r>
            <w:proofErr w:type="spellEnd"/>
          </w:p>
          <w:p w14:paraId="336B5911" w14:textId="77777777" w:rsidR="00394056" w:rsidRPr="00394056" w:rsidRDefault="00A64FF4" w:rsidP="0039405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6.</w:t>
            </w:r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Instalarea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stații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control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echipamente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automatizare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protecție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şi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control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computerizat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al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transferului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energie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către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consumatorul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final</w:t>
            </w:r>
          </w:p>
          <w:p w14:paraId="38449FD1" w14:textId="77777777" w:rsidR="00394056" w:rsidRPr="00394056" w:rsidRDefault="00A64FF4" w:rsidP="0039405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7.</w:t>
            </w:r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Utilizarea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rațională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resurselor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energetice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termice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reducerea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pierderilor</w:t>
            </w:r>
            <w:proofErr w:type="spellEnd"/>
          </w:p>
          <w:p w14:paraId="3BB3E912" w14:textId="77777777" w:rsidR="00394056" w:rsidRPr="00394056" w:rsidRDefault="00A64FF4" w:rsidP="0039405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8.</w:t>
            </w:r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Minimizarea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impactului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negativ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asupra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mediului</w:t>
            </w:r>
            <w:proofErr w:type="spellEnd"/>
          </w:p>
          <w:p w14:paraId="000130B5" w14:textId="77777777" w:rsidR="00394056" w:rsidRPr="00394056" w:rsidRDefault="00A64FF4" w:rsidP="0039405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9.</w:t>
            </w:r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Instalarea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unui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sistem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informatic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monitorizare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comandă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şi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achiziție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date</w:t>
            </w:r>
          </w:p>
          <w:p w14:paraId="48B64913" w14:textId="77777777" w:rsidR="00394056" w:rsidRPr="00394056" w:rsidRDefault="00A64FF4" w:rsidP="0039405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10.</w:t>
            </w:r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Reducerea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costurilor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mentenanță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ale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rețelelor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distribuție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energiei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termice</w:t>
            </w:r>
            <w:proofErr w:type="spellEnd"/>
          </w:p>
          <w:p w14:paraId="141E3606" w14:textId="77777777" w:rsidR="00394056" w:rsidRPr="00394056" w:rsidRDefault="00A64FF4" w:rsidP="0039405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11.</w:t>
            </w:r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Investițiile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modernizare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reabilitare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retehnologizare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rețelelor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transport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distribuție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agentului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termic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trebuie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aibă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ca scop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îmbunătățirea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parametrilor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securitate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şi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calitate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ai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rețelelor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transport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distribuție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agentului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termic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reducerea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numărului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întreruperi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şi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pierderilor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tehnologice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comparativ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situația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anterioară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implementării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proiectului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)</w:t>
            </w:r>
          </w:p>
          <w:p w14:paraId="660B3688" w14:textId="77777777" w:rsidR="005B2C40" w:rsidRPr="005B2C40" w:rsidRDefault="00A64FF4" w:rsidP="0039405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12.</w:t>
            </w:r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Digitalizarea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rețelelor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distribuție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energie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termică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colectarea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întreținerea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tuturor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datelor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necesare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modelarii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tehnice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georeferențiale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ale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elementelor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rețea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.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Aceasta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contribuie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fundamental la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implementarea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conceptului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rețea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inteligenta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distribuție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energie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termică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creșterea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capacității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integrare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noi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forme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producție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/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consum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facilitarea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unor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noi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modele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afaceri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structuri</w:t>
            </w:r>
            <w:proofErr w:type="spellEnd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</w:t>
            </w:r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="00394056" w:rsidRPr="0039405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piață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7DBA4" w14:textId="77777777" w:rsidR="005B2C40" w:rsidRPr="003E79A0" w:rsidRDefault="006D7426" w:rsidP="006A1F2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</w:pP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Finanțarea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acordă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în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lei sub forma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rambursării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cheltuielilor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efectuate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şi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nu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poate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depăși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50.000.000 euro/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proiect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(Se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va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utiliza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un curs de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schimb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euro-leu (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infoeuro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) din luna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anterioară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depunerii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cererii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finanțare</w:t>
            </w:r>
            <w:proofErr w:type="spellEnd"/>
            <w:r w:rsidRPr="006D742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2136C" w14:textId="77777777" w:rsidR="006D7426" w:rsidRPr="006D7426" w:rsidRDefault="006D7426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Bugetul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alocat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total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590.000.000 euro.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Acest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buget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împărțit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finanțarea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proiectelor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tip A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proiectelor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tip B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dupa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cum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urmeaza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25DFDED8" w14:textId="77777777" w:rsidR="006D7426" w:rsidRPr="006D7426" w:rsidRDefault="006D7426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1874B852" w14:textId="77777777" w:rsidR="006D7426" w:rsidRPr="006D7426" w:rsidRDefault="006D7426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200.000.000 euro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proiectele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tip A -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căruia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finanțarea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intră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sub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incidența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ajutorului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stat</w:t>
            </w:r>
          </w:p>
          <w:p w14:paraId="50CFEFF0" w14:textId="77777777" w:rsidR="005B2C40" w:rsidRPr="003E79A0" w:rsidRDefault="006D7426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390.000.000 euro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proiectele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tip B -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căruia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finanțarea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nu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intră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sub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incidența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ajutorului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stat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4B556" w14:textId="77777777" w:rsidR="005B2C40" w:rsidRPr="003E79A0" w:rsidRDefault="006D7426" w:rsidP="003E79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01.01.2027, </w:t>
            </w:r>
            <w:proofErr w:type="spellStart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6D742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12.00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051D7458" w14:textId="77777777" w:rsidR="005B2C40" w:rsidRDefault="004878F2" w:rsidP="00C36063">
            <w:pPr>
              <w:autoSpaceDE w:val="0"/>
              <w:spacing w:after="0" w:line="240" w:lineRule="auto"/>
            </w:pPr>
            <w:hyperlink r:id="rId12" w:history="1">
              <w:r w:rsidRPr="00A22A7B">
                <w:rPr>
                  <w:rStyle w:val="Hyperlink"/>
                </w:rPr>
                <w:t>https://www.fonduri-structurale.ro/finantari/537/sprijinirea-investitiilor-pentru-modernizarea-reabilitarea-retelei-inteligente-de-termoficare</w:t>
              </w:r>
            </w:hyperlink>
          </w:p>
          <w:p w14:paraId="56050E1D" w14:textId="77777777" w:rsidR="004878F2" w:rsidRDefault="004878F2" w:rsidP="00C36063">
            <w:pPr>
              <w:autoSpaceDE w:val="0"/>
              <w:spacing w:after="0" w:line="240" w:lineRule="auto"/>
            </w:pPr>
          </w:p>
        </w:tc>
      </w:tr>
      <w:tr w:rsidR="00097F50" w14:paraId="27295C89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5FA7" w14:textId="77777777" w:rsidR="00097F50" w:rsidRDefault="00097F50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F5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Comisia Europeană</w:t>
            </w:r>
          </w:p>
          <w:p w14:paraId="129552E0" w14:textId="77777777" w:rsidR="00097F50" w:rsidRDefault="00097F50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9209D" w14:textId="77777777" w:rsidR="00097F50" w:rsidRDefault="00097F50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F50">
              <w:rPr>
                <w:rFonts w:ascii="Times New Roman" w:hAnsi="Times New Roman" w:cs="Times New Roman"/>
                <w:b/>
                <w:sz w:val="18"/>
                <w:szCs w:val="18"/>
              </w:rPr>
              <w:t>Programul Life</w:t>
            </w:r>
          </w:p>
          <w:p w14:paraId="5E84D437" w14:textId="77777777" w:rsidR="00097F50" w:rsidRDefault="00097F50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E3020" w14:textId="77777777" w:rsidR="00097F50" w:rsidRDefault="00097F50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1915EB" w14:textId="77777777" w:rsidR="00097F50" w:rsidRPr="005B2C40" w:rsidRDefault="00097F50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F50">
              <w:rPr>
                <w:rFonts w:ascii="Times New Roman" w:hAnsi="Times New Roman" w:cs="Times New Roman"/>
                <w:b/>
                <w:sz w:val="18"/>
                <w:szCs w:val="18"/>
              </w:rPr>
              <w:t>Finanțare pentru implementarea eficientă a legislației cheie în domeniul energiei durabile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A8721" w14:textId="77777777" w:rsidR="00097F50" w:rsidRPr="005B2C40" w:rsidRDefault="00097F50" w:rsidP="00991AC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97F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finanțează implementarea eficientă a legislației din domeniul energiei durabile.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EBDA6" w14:textId="77777777" w:rsidR="00097F50" w:rsidRPr="00097F50" w:rsidRDefault="00097F50" w:rsidP="00097F5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Beneficiari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eligibili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:</w:t>
            </w:r>
          </w:p>
          <w:p w14:paraId="754E8023" w14:textId="77777777" w:rsidR="00097F50" w:rsidRPr="005B2C40" w:rsidRDefault="00097F50" w:rsidP="00097F5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</w:pP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Consorțiu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format din cel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puțin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3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solicitanți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(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persoanele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juridice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-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organisme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sau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private) din 3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țări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eligibile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diferite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6C236" w14:textId="77777777" w:rsidR="00097F50" w:rsidRPr="00097F50" w:rsidRDefault="00097F50" w:rsidP="00097F5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Sprijinirea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dispozițiilor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facilitare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din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legislația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strategiile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UE</w:t>
            </w:r>
          </w:p>
          <w:p w14:paraId="35A5896E" w14:textId="77777777" w:rsidR="00097F50" w:rsidRPr="00097F50" w:rsidRDefault="00097F50" w:rsidP="00097F5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Acțiunile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finanțate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trebuie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să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vizeze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:</w:t>
            </w:r>
          </w:p>
          <w:p w14:paraId="2A960572" w14:textId="77777777" w:rsidR="00097F50" w:rsidRPr="00097F50" w:rsidRDefault="00097F50" w:rsidP="00097F5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Promovarea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facilitarea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schimbului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informații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a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partajării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celor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mai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bune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practici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între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statele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membre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.</w:t>
            </w:r>
          </w:p>
          <w:p w14:paraId="585BC100" w14:textId="77777777" w:rsidR="00097F50" w:rsidRPr="00097F50" w:rsidRDefault="00097F50" w:rsidP="00097F5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Oferirea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sprijin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,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consultanță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tehnică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instrumente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pentru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contextualizarea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specificarea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cerințelor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,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în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general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în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funcție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contextul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național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regional.</w:t>
            </w:r>
          </w:p>
          <w:p w14:paraId="53080DFE" w14:textId="77777777" w:rsidR="00097F50" w:rsidRPr="00097F50" w:rsidRDefault="00097F50" w:rsidP="00097F5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Definirea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,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evaluarea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modelarea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impactului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opțiunilor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implementare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pentru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a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respecta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cerințele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legislative ale UE,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contribuind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astfel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la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elaborarea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unor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politici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mai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eficiente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.</w:t>
            </w:r>
          </w:p>
          <w:p w14:paraId="770D9FD0" w14:textId="77777777" w:rsidR="00097F50" w:rsidRPr="00097F50" w:rsidRDefault="00097F50" w:rsidP="00097F5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Sprijinirea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monitorizării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evaluării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implementării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politicilor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.</w:t>
            </w:r>
          </w:p>
          <w:p w14:paraId="60B8E6E5" w14:textId="77777777" w:rsidR="00097F50" w:rsidRPr="00097F50" w:rsidRDefault="00097F50" w:rsidP="00097F5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Dezvoltarea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aplicarea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metodologiilor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pentru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a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măsura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,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calcula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contabiliza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mai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precis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contribuțiile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aduse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în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cadrul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măsurilor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programelor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politici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specifice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.</w:t>
            </w:r>
          </w:p>
          <w:p w14:paraId="307ED49B" w14:textId="77777777" w:rsidR="00097F50" w:rsidRPr="00097F50" w:rsidRDefault="00097F50" w:rsidP="00097F5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Sprijin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pentru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implementarea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Directivei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privind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energia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regenerabilă</w:t>
            </w:r>
            <w:proofErr w:type="spellEnd"/>
          </w:p>
          <w:p w14:paraId="0CAF09FD" w14:textId="77777777" w:rsidR="00097F50" w:rsidRPr="00097F50" w:rsidRDefault="00097F50" w:rsidP="00097F5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propunerile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trebuie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să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abordeze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doar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unul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dintre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cele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două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domenii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mai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jos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:</w:t>
            </w:r>
          </w:p>
          <w:p w14:paraId="321EF3EC" w14:textId="77777777" w:rsidR="00097F50" w:rsidRPr="00097F50" w:rsidRDefault="00097F50" w:rsidP="00097F5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Proceduri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acordare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a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autorizațiilor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zone de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accelerare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a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energiei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regenerabile</w:t>
            </w:r>
            <w:proofErr w:type="spellEnd"/>
          </w:p>
          <w:p w14:paraId="6880635F" w14:textId="77777777" w:rsidR="00097F50" w:rsidRPr="00394056" w:rsidRDefault="00097F50" w:rsidP="00097F5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Sprijinirea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autorităților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naționale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în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implementarea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articolului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18 din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Directiva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privind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energia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electrică</w:t>
            </w:r>
            <w:proofErr w:type="spellEnd"/>
            <w:r w:rsidRPr="00097F50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12E06" w14:textId="77777777" w:rsidR="00097F50" w:rsidRPr="00815182" w:rsidRDefault="006B60FB" w:rsidP="006A1F2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</w:pPr>
            <w:proofErr w:type="spellStart"/>
            <w:r w:rsidRPr="0081518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Valoarea</w:t>
            </w:r>
            <w:proofErr w:type="spellEnd"/>
            <w:r w:rsidRPr="0081518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1518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maximă</w:t>
            </w:r>
            <w:proofErr w:type="spellEnd"/>
            <w:r w:rsidRPr="0081518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81518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finanțării</w:t>
            </w:r>
            <w:proofErr w:type="spellEnd"/>
            <w:r w:rsidRPr="0081518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1518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>este</w:t>
            </w:r>
            <w:proofErr w:type="spellEnd"/>
            <w:r w:rsidRPr="0081518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/>
              </w:rPr>
              <w:t xml:space="preserve"> de 2.000.000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F4EFB" w14:textId="77777777" w:rsidR="00097F50" w:rsidRPr="00815182" w:rsidRDefault="006B60FB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51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Procentul</w:t>
            </w:r>
            <w:proofErr w:type="spellEnd"/>
            <w:r w:rsidRPr="008151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151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cofinanțare</w:t>
            </w:r>
            <w:proofErr w:type="spellEnd"/>
            <w:r w:rsidRPr="008151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8151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partea</w:t>
            </w:r>
            <w:proofErr w:type="spellEnd"/>
            <w:r w:rsidRPr="008151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1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solicitanților</w:t>
            </w:r>
            <w:proofErr w:type="spellEnd"/>
            <w:r w:rsidRPr="008151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1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8151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minim 5%.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5D2DE" w14:textId="77777777" w:rsidR="00097F50" w:rsidRPr="00815182" w:rsidRDefault="006B60FB" w:rsidP="003E79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151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23 </w:t>
            </w:r>
            <w:proofErr w:type="spellStart"/>
            <w:r w:rsidRPr="008151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septembrie</w:t>
            </w:r>
            <w:proofErr w:type="spellEnd"/>
            <w:r w:rsidRPr="008151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 – 17:00 CET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21F766C4" w14:textId="77777777" w:rsidR="00097F50" w:rsidRDefault="006B60FB" w:rsidP="00C36063">
            <w:pPr>
              <w:autoSpaceDE w:val="0"/>
              <w:spacing w:after="0" w:line="240" w:lineRule="auto"/>
            </w:pPr>
            <w:hyperlink r:id="rId13" w:history="1">
              <w:r w:rsidRPr="00A22A7B">
                <w:rPr>
                  <w:rStyle w:val="Hyperlink"/>
                </w:rPr>
                <w:t>https://www.fonduri-structurale.ro/finantari/1856/finantare-pentru-implementarea-eficienta-a-legislatiei-cheie-in-domeniul-energiei-durabile</w:t>
              </w:r>
            </w:hyperlink>
          </w:p>
          <w:p w14:paraId="2B2E380F" w14:textId="77777777" w:rsidR="006B60FB" w:rsidRDefault="006B60FB" w:rsidP="00C36063">
            <w:pPr>
              <w:autoSpaceDE w:val="0"/>
              <w:spacing w:after="0" w:line="240" w:lineRule="auto"/>
            </w:pPr>
          </w:p>
        </w:tc>
      </w:tr>
      <w:tr w:rsidR="00FA52A5" w14:paraId="66E2F92F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8D640" w14:textId="77777777" w:rsidR="00FA52A5" w:rsidRDefault="00FA52A5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2A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Ministerul Investițiilor și Proiectelor Europene</w:t>
            </w:r>
          </w:p>
          <w:p w14:paraId="3360323D" w14:textId="77777777" w:rsidR="00FA52A5" w:rsidRDefault="00FA52A5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41199" w14:textId="77777777" w:rsidR="00FA52A5" w:rsidRDefault="00FA52A5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2A5">
              <w:rPr>
                <w:rFonts w:ascii="Times New Roman" w:hAnsi="Times New Roman" w:cs="Times New Roman"/>
                <w:b/>
                <w:sz w:val="18"/>
                <w:szCs w:val="18"/>
              </w:rPr>
              <w:t>Programul Dezvoltare Durabilă</w:t>
            </w:r>
          </w:p>
          <w:p w14:paraId="5BD3E057" w14:textId="77777777" w:rsidR="00FA52A5" w:rsidRDefault="00FA52A5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524790" w14:textId="77777777" w:rsidR="00FA52A5" w:rsidRPr="00FB2AA3" w:rsidRDefault="00FA52A5" w:rsidP="00C11F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2A5">
              <w:rPr>
                <w:rFonts w:ascii="Times New Roman" w:hAnsi="Times New Roman" w:cs="Times New Roman"/>
                <w:b/>
                <w:sz w:val="18"/>
                <w:szCs w:val="18"/>
              </w:rPr>
              <w:t>Promovarea energiei din surse regenerabile - energie geotermală – proiecte noi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056F8" w14:textId="77777777" w:rsidR="00FA52A5" w:rsidRPr="00FA52A5" w:rsidRDefault="00FA52A5" w:rsidP="00991AC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52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Apelul de proiecte este necompetitiv și vizează promovarea utilizării surselor de energie regenerabilă, axându-se pe investiții în producția de energie termică din energie geotermală.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56B5E" w14:textId="77777777" w:rsidR="00FA52A5" w:rsidRPr="00FA52A5" w:rsidRDefault="00FA52A5" w:rsidP="00FB2AA3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</w:pP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Solicitanții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eligibili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sunt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unitățile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administrativ-teritoriale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în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raza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cărora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există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potențial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de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utilizare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a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resurselor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de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energie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regenerabile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de tip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geotermal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și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care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asigură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/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vor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asigura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energia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termică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necesară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pentru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consumul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propriu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al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clădirilor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publice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asupra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cărora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UAT are un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>drept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  <w:t xml:space="preserve"> real.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4D7FA" w14:textId="77777777" w:rsidR="00FA52A5" w:rsidRPr="00FA52A5" w:rsidRDefault="00FA52A5" w:rsidP="00FA52A5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</w:pPr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Se pot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finanța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următoarele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activități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eligibile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orientative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,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fără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a fi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însă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limitative:</w:t>
            </w:r>
          </w:p>
          <w:p w14:paraId="4A6E8210" w14:textId="77777777" w:rsidR="00FA52A5" w:rsidRPr="00FA52A5" w:rsidRDefault="00FA52A5" w:rsidP="00FA52A5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222"/>
              </w:tabs>
              <w:suppressAutoHyphens w:val="0"/>
              <w:spacing w:before="100" w:beforeAutospacing="1" w:after="100" w:afterAutospacing="1" w:line="240" w:lineRule="auto"/>
              <w:ind w:left="222"/>
              <w:jc w:val="both"/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</w:pP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Realizarea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/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modernizarea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și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extinderea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capacităţilor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producţie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a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energiei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termice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din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apă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geotermală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,</w:t>
            </w:r>
          </w:p>
          <w:p w14:paraId="0C807D67" w14:textId="77777777" w:rsidR="00FA52A5" w:rsidRPr="00FA52A5" w:rsidRDefault="00FA52A5" w:rsidP="00FA52A5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222"/>
              </w:tabs>
              <w:suppressAutoHyphens w:val="0"/>
              <w:spacing w:before="100" w:beforeAutospacing="1" w:after="100" w:afterAutospacing="1" w:line="240" w:lineRule="auto"/>
              <w:ind w:left="222"/>
              <w:jc w:val="both"/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</w:pP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Realizarea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/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modernizarea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și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extinderea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segmentului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rețea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pentru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furnizarea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energiei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termice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până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la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punctul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consum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,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integrată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proiectului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pentru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realizarea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/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modernizarea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și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extinderea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capacității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producție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energie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termică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din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apă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geotermală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, </w:t>
            </w:r>
          </w:p>
          <w:p w14:paraId="385786E0" w14:textId="77777777" w:rsidR="00FA52A5" w:rsidRPr="00FA52A5" w:rsidRDefault="00FA52A5" w:rsidP="00FA52A5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222"/>
              </w:tabs>
              <w:suppressAutoHyphens w:val="0"/>
              <w:spacing w:before="100" w:beforeAutospacing="1" w:after="100" w:afterAutospacing="1" w:line="240" w:lineRule="auto"/>
              <w:ind w:left="222"/>
              <w:jc w:val="both"/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</w:pP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Realizarea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lucrărilor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execuţie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/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modernizare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a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forajelor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exploatare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și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/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sau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reinjecție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a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apelor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geotermale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,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respectiv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a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echipamentelor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ce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deservesc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puţurile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,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instalaţiile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schimb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căldură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şi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instalaţiile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protecţie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şi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tratare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a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reziduurilor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minerale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legate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exclusiv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apele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geotermale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,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în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conformitate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cu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standardele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specifice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în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cazul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energiei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geotermale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.</w:t>
            </w:r>
          </w:p>
          <w:p w14:paraId="10DE0A88" w14:textId="77777777" w:rsidR="00FA52A5" w:rsidRPr="00FA52A5" w:rsidRDefault="00FA52A5" w:rsidP="00FA52A5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222"/>
              </w:tabs>
              <w:suppressAutoHyphens w:val="0"/>
              <w:spacing w:before="100" w:beforeAutospacing="1" w:after="100" w:afterAutospacing="1" w:line="240" w:lineRule="auto"/>
              <w:ind w:left="222"/>
              <w:jc w:val="both"/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</w:pPr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Investițiile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în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echipamente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,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utilaje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,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dotări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specifice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necesare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pentru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obținerea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energiei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termice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din  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apă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geotermală</w:t>
            </w:r>
            <w:proofErr w:type="spellEnd"/>
          </w:p>
          <w:p w14:paraId="3146BE00" w14:textId="77777777" w:rsidR="00FA52A5" w:rsidRPr="00FA52A5" w:rsidRDefault="00FA52A5" w:rsidP="00FA52A5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</w:pPr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Alte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activitati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pot fi considerate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eligibile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,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dacă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sunt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necesare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realizării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scopului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proiectului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și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justificate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.</w:t>
            </w:r>
          </w:p>
          <w:p w14:paraId="01F3E17E" w14:textId="77777777" w:rsidR="00FA52A5" w:rsidRPr="008F101E" w:rsidRDefault="00FA52A5" w:rsidP="00FB2AA3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E49F0" w14:textId="77777777" w:rsidR="00FA52A5" w:rsidRPr="00FA52A5" w:rsidRDefault="00FA52A5" w:rsidP="008F101E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Valoarea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eligibilă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maximă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a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finanțării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nu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depăși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8.000.000 euro pe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proiect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</w:t>
            </w:r>
            <w:proofErr w:type="spellStart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investiții</w:t>
            </w:r>
            <w:proofErr w:type="spellEnd"/>
            <w:r w:rsidRPr="00FA52A5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72148" w14:textId="77777777" w:rsidR="00FA52A5" w:rsidRPr="00FA52A5" w:rsidRDefault="00FA52A5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A52A5">
              <w:rPr>
                <w:rFonts w:ascii="Times New Roman" w:eastAsia="Times New Roman" w:hAnsi="Times New Roman" w:cs="Times New Roman"/>
                <w:lang w:val="en-US"/>
              </w:rPr>
              <w:t>Procentul</w:t>
            </w:r>
            <w:proofErr w:type="spellEnd"/>
            <w:r w:rsidRPr="00FA52A5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A52A5">
              <w:rPr>
                <w:rFonts w:ascii="Times New Roman" w:eastAsia="Times New Roman" w:hAnsi="Times New Roman" w:cs="Times New Roman"/>
                <w:lang w:val="en-US"/>
              </w:rPr>
              <w:t>cofinanțare</w:t>
            </w:r>
            <w:proofErr w:type="spellEnd"/>
            <w:r w:rsidRPr="00FA52A5">
              <w:rPr>
                <w:rFonts w:ascii="Times New Roman" w:eastAsia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FA52A5">
              <w:rPr>
                <w:rFonts w:ascii="Times New Roman" w:eastAsia="Times New Roman" w:hAnsi="Times New Roman" w:cs="Times New Roman"/>
                <w:lang w:val="en-US"/>
              </w:rPr>
              <w:t>partea</w:t>
            </w:r>
            <w:proofErr w:type="spellEnd"/>
            <w:r w:rsidRPr="00FA52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A52A5">
              <w:rPr>
                <w:rFonts w:ascii="Times New Roman" w:eastAsia="Times New Roman" w:hAnsi="Times New Roman" w:cs="Times New Roman"/>
                <w:lang w:val="en-US"/>
              </w:rPr>
              <w:t>solicitanților</w:t>
            </w:r>
            <w:proofErr w:type="spellEnd"/>
            <w:r w:rsidRPr="00FA52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A52A5">
              <w:rPr>
                <w:rFonts w:ascii="Times New Roman" w:eastAsia="Times New Roman" w:hAnsi="Times New Roman" w:cs="Times New Roman"/>
                <w:lang w:val="en-US"/>
              </w:rPr>
              <w:t>este</w:t>
            </w:r>
            <w:proofErr w:type="spellEnd"/>
            <w:r w:rsidRPr="00FA52A5">
              <w:rPr>
                <w:rFonts w:ascii="Times New Roman" w:eastAsia="Times New Roman" w:hAnsi="Times New Roman" w:cs="Times New Roman"/>
                <w:lang w:val="en-US"/>
              </w:rPr>
              <w:t xml:space="preserve"> de 0%.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48E41" w14:textId="77777777" w:rsidR="00FA52A5" w:rsidRPr="00A751B4" w:rsidRDefault="00FA52A5" w:rsidP="003E79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A52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</w:t>
            </w:r>
            <w:r>
              <w:t xml:space="preserve"> </w:t>
            </w:r>
            <w:proofErr w:type="spellStart"/>
            <w:r w:rsidRPr="00FA52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Decembrie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52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2025, </w:t>
            </w:r>
            <w:proofErr w:type="spellStart"/>
            <w:r w:rsidRPr="00FA52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ora</w:t>
            </w:r>
            <w:proofErr w:type="spellEnd"/>
            <w:r w:rsidRPr="00FA52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14.00.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7B222CAA" w14:textId="77777777" w:rsidR="00FA52A5" w:rsidRDefault="00FA52A5" w:rsidP="00C36063">
            <w:pPr>
              <w:autoSpaceDE w:val="0"/>
              <w:spacing w:after="0" w:line="240" w:lineRule="auto"/>
            </w:pPr>
            <w:hyperlink r:id="rId14" w:history="1">
              <w:r w:rsidRPr="0075070F">
                <w:rPr>
                  <w:rStyle w:val="Hyperlink"/>
                </w:rPr>
                <w:t>https://www.fonduri-structurale.ro/finantari/1457/promovarea-energiei-din-surse-regenerabile-energie-geotermala-proiecte-noi</w:t>
              </w:r>
            </w:hyperlink>
          </w:p>
          <w:p w14:paraId="69185E35" w14:textId="77777777" w:rsidR="00FA52A5" w:rsidRDefault="00FA52A5" w:rsidP="00C36063">
            <w:pPr>
              <w:autoSpaceDE w:val="0"/>
              <w:spacing w:after="0" w:line="240" w:lineRule="auto"/>
            </w:pPr>
          </w:p>
        </w:tc>
      </w:tr>
      <w:tr w:rsidR="004B2B43" w14:paraId="3DDCBCCB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E696D" w14:textId="77777777" w:rsidR="004B2B43" w:rsidRDefault="004B2B43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F5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Comisia Europeană</w:t>
            </w:r>
          </w:p>
          <w:p w14:paraId="089F3CEA" w14:textId="77777777" w:rsidR="004B2B43" w:rsidRDefault="004B2B43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F086F7" w14:textId="77777777" w:rsidR="004B2B43" w:rsidRDefault="004B2B43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F50">
              <w:rPr>
                <w:rFonts w:ascii="Times New Roman" w:hAnsi="Times New Roman" w:cs="Times New Roman"/>
                <w:b/>
                <w:sz w:val="18"/>
                <w:szCs w:val="18"/>
              </w:rPr>
              <w:t>Programul Life</w:t>
            </w:r>
          </w:p>
          <w:p w14:paraId="2976A725" w14:textId="77777777" w:rsidR="004B2B43" w:rsidRDefault="004B2B43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7021E" w14:textId="77777777" w:rsidR="004B2B43" w:rsidRDefault="004B2B43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92445" w14:textId="77777777" w:rsidR="004B2B43" w:rsidRPr="005B2C40" w:rsidRDefault="004B2B43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B43">
              <w:rPr>
                <w:rFonts w:ascii="Times New Roman" w:hAnsi="Times New Roman" w:cs="Times New Roman"/>
                <w:b/>
                <w:sz w:val="18"/>
                <w:szCs w:val="18"/>
              </w:rPr>
              <w:t>Sprijin pentru orașe în dezvoltarea planurilor de investiții pentru tranziția către energia curată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15011" w14:textId="77777777" w:rsidR="004B2B43" w:rsidRPr="005B2C40" w:rsidRDefault="004B2B43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B2B4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sprijină orașele în dezvoltarea planurilor de investiții pentru tranziția către energie curată, cu un focus pe eficiență energetică.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996B0" w14:textId="77777777" w:rsidR="004B2B43" w:rsidRPr="00097F50" w:rsidRDefault="004B2B43" w:rsidP="00853AE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A46219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Beneficiari</w:t>
            </w:r>
            <w:proofErr w:type="spellEnd"/>
            <w:r w:rsidRPr="00A46219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A46219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eligibili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:</w:t>
            </w:r>
          </w:p>
          <w:p w14:paraId="50D690BD" w14:textId="77777777" w:rsidR="004B2B43" w:rsidRPr="005B2C40" w:rsidRDefault="004B2B43" w:rsidP="00853AE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</w:pP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Consorțiu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format din cel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puțin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3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solicitanți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(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persoanele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juridice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-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organisme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sau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private) din 3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țări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eligibile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diferite</w:t>
            </w:r>
            <w:proofErr w:type="spellEnd"/>
            <w:r w:rsidRPr="00097F50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B8258" w14:textId="77777777" w:rsidR="004B2B43" w:rsidRPr="00FA52A5" w:rsidRDefault="004B2B43" w:rsidP="00FA52A5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</w:pP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Propunerile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vor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gestiona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un program care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oferă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sprijin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financiar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și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servicii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conexe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orașelor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,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municipalităților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europene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sau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grupărilor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acestora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pentru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a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dezvolta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concepte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de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investiții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pentru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eficiența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energetică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și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investiții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integrate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în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tranziția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energetică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care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combină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eficiența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energetică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și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sursele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regenerabile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 xml:space="preserve"> de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energie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 w:bidi="he-IL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4215" w14:textId="77777777" w:rsidR="004B2B43" w:rsidRPr="00FA52A5" w:rsidRDefault="004B2B43" w:rsidP="008F101E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Valoarea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maximă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a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finanțării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este</w:t>
            </w:r>
            <w:proofErr w:type="spellEnd"/>
            <w:r w:rsidRPr="004B2B43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15.000.000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810D9" w14:textId="77777777" w:rsidR="004B2B43" w:rsidRPr="00FA52A5" w:rsidRDefault="004B2B43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B2B43">
              <w:rPr>
                <w:rFonts w:ascii="Times New Roman" w:eastAsia="Times New Roman" w:hAnsi="Times New Roman" w:cs="Times New Roman"/>
                <w:lang w:val="en-US"/>
              </w:rPr>
              <w:t>Procentul</w:t>
            </w:r>
            <w:proofErr w:type="spellEnd"/>
            <w:r w:rsidRPr="004B2B43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4B2B43">
              <w:rPr>
                <w:rFonts w:ascii="Times New Roman" w:eastAsia="Times New Roman" w:hAnsi="Times New Roman" w:cs="Times New Roman"/>
                <w:lang w:val="en-US"/>
              </w:rPr>
              <w:t>cofinanțare</w:t>
            </w:r>
            <w:proofErr w:type="spellEnd"/>
            <w:r w:rsidRPr="004B2B43">
              <w:rPr>
                <w:rFonts w:ascii="Times New Roman" w:eastAsia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4B2B43">
              <w:rPr>
                <w:rFonts w:ascii="Times New Roman" w:eastAsia="Times New Roman" w:hAnsi="Times New Roman" w:cs="Times New Roman"/>
                <w:lang w:val="en-US"/>
              </w:rPr>
              <w:t>partea</w:t>
            </w:r>
            <w:proofErr w:type="spellEnd"/>
            <w:r w:rsidRPr="004B2B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B2B43">
              <w:rPr>
                <w:rFonts w:ascii="Times New Roman" w:eastAsia="Times New Roman" w:hAnsi="Times New Roman" w:cs="Times New Roman"/>
                <w:lang w:val="en-US"/>
              </w:rPr>
              <w:t>solicitanților</w:t>
            </w:r>
            <w:proofErr w:type="spellEnd"/>
            <w:r w:rsidRPr="004B2B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B2B43">
              <w:rPr>
                <w:rFonts w:ascii="Times New Roman" w:eastAsia="Times New Roman" w:hAnsi="Times New Roman" w:cs="Times New Roman"/>
                <w:lang w:val="en-US"/>
              </w:rPr>
              <w:t>este</w:t>
            </w:r>
            <w:proofErr w:type="spellEnd"/>
            <w:r w:rsidRPr="004B2B43">
              <w:rPr>
                <w:rFonts w:ascii="Times New Roman" w:eastAsia="Times New Roman" w:hAnsi="Times New Roman" w:cs="Times New Roman"/>
                <w:lang w:val="en-US"/>
              </w:rPr>
              <w:t xml:space="preserve"> de minim 5%.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B19EB" w14:textId="77777777" w:rsidR="004B2B43" w:rsidRPr="00FA52A5" w:rsidRDefault="004B2B43" w:rsidP="003E79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2B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23 </w:t>
            </w:r>
            <w:proofErr w:type="spellStart"/>
            <w:r w:rsidRPr="004B2B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septembrie</w:t>
            </w:r>
            <w:proofErr w:type="spellEnd"/>
            <w:r w:rsidRPr="004B2B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 – 17:00 CET (</w:t>
            </w:r>
            <w:proofErr w:type="spellStart"/>
            <w:r w:rsidRPr="004B2B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Bruxelles</w:t>
            </w:r>
            <w:proofErr w:type="spellEnd"/>
            <w:r w:rsidRPr="004B2B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7B3E11FA" w14:textId="77777777" w:rsidR="004B2B43" w:rsidRDefault="004B2B43" w:rsidP="00C36063">
            <w:pPr>
              <w:autoSpaceDE w:val="0"/>
              <w:spacing w:after="0" w:line="240" w:lineRule="auto"/>
            </w:pPr>
            <w:hyperlink r:id="rId15" w:history="1">
              <w:r w:rsidRPr="0075070F">
                <w:rPr>
                  <w:rStyle w:val="Hyperlink"/>
                </w:rPr>
                <w:t>https://www.fonduri-structurale.ro/finantari/1852/sprijin-pentru-orase-in-dezvoltarea-planurilor-de-investitii-pentru-tranzitia-catre-energia-curata</w:t>
              </w:r>
            </w:hyperlink>
          </w:p>
          <w:p w14:paraId="17449A36" w14:textId="77777777" w:rsidR="004B2B43" w:rsidRDefault="004B2B43" w:rsidP="00C36063">
            <w:pPr>
              <w:autoSpaceDE w:val="0"/>
              <w:spacing w:after="0" w:line="240" w:lineRule="auto"/>
            </w:pPr>
          </w:p>
        </w:tc>
      </w:tr>
      <w:tr w:rsidR="00EB3985" w14:paraId="16CEEAA2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393E8" w14:textId="77777777" w:rsidR="00EB3985" w:rsidRDefault="00EB398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98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Comisia Europeană</w:t>
            </w:r>
          </w:p>
          <w:p w14:paraId="338E1528" w14:textId="77777777" w:rsidR="00EB3985" w:rsidRDefault="00EB398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E6C41" w14:textId="77777777" w:rsidR="00EB3985" w:rsidRDefault="00EB398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985">
              <w:rPr>
                <w:rFonts w:ascii="Times New Roman" w:hAnsi="Times New Roman" w:cs="Times New Roman"/>
                <w:b/>
                <w:sz w:val="18"/>
                <w:szCs w:val="18"/>
              </w:rPr>
              <w:t>Programul Life</w:t>
            </w:r>
          </w:p>
          <w:p w14:paraId="461BF9D1" w14:textId="77777777" w:rsidR="00EB3985" w:rsidRDefault="00EB398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4B98AC" w14:textId="77777777" w:rsidR="00EB3985" w:rsidRDefault="00EB398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2CDED9" w14:textId="77777777" w:rsidR="00EB3985" w:rsidRPr="00097F50" w:rsidRDefault="00EB398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985">
              <w:rPr>
                <w:rFonts w:ascii="Times New Roman" w:hAnsi="Times New Roman" w:cs="Times New Roman"/>
                <w:b/>
                <w:sz w:val="18"/>
                <w:szCs w:val="18"/>
              </w:rPr>
              <w:t>Apel pentru proiecte strategice integrate care vizează natura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DCE93" w14:textId="77777777" w:rsidR="00EB3985" w:rsidRPr="004B2B43" w:rsidRDefault="00EB398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B39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finanțează proiecte strategice care vizează natura.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AA987" w14:textId="77777777" w:rsidR="00022DB6" w:rsidRPr="00022DB6" w:rsidRDefault="00022DB6" w:rsidP="00022DB6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D50BB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Beneficiari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eligibili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:</w:t>
            </w:r>
          </w:p>
          <w:p w14:paraId="34669A5D" w14:textId="77777777" w:rsidR="00022DB6" w:rsidRPr="00022DB6" w:rsidRDefault="00022DB6" w:rsidP="00022DB6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Consorțiu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format din cel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puțin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2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solicitanți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(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persoanele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juridice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-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organisme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sau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private)</w:t>
            </w:r>
          </w:p>
          <w:p w14:paraId="5F3CBCBF" w14:textId="77777777" w:rsidR="00EB3985" w:rsidRPr="00097F50" w:rsidRDefault="00022DB6" w:rsidP="00022DB6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Autoritatea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responsabilă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plan/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strategie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/plan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acțiune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trebui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în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principiu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participe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la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consorțiu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în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calitate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coordonator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1D8DC" w14:textId="77777777" w:rsidR="00022DB6" w:rsidRPr="00022DB6" w:rsidRDefault="00022DB6" w:rsidP="00022DB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</w:pP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Solicitanții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trebuie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demonstreze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modul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care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proiectul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vizează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implementarea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planului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țintă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.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acest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sens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proiectul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trebui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includă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acțiuni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care pot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facilita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mobilizarea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utilizarea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altor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fonduri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complementare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care pot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finanța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implementarea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acțiuni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sau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măsuri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dincolo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cele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sprijinite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prin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Proiectele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Strategice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Integrate –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atât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ceea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privește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domeniul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aplicare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cât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intervalul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timp.În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plus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față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obiectivele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generale,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propunerea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trebui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prezinte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informații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privind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:</w:t>
            </w:r>
          </w:p>
          <w:p w14:paraId="058931DD" w14:textId="77777777" w:rsidR="00022DB6" w:rsidRPr="00022DB6" w:rsidRDefault="00022DB6" w:rsidP="00022DB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-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nivelul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așteptat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implementare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planului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țintă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ca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rezultat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direct al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acțiunilor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prevăzute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cadrul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proiectului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strategic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sau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prin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acțiuni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complementare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finanțate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din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alte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surse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mobilizate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paralel</w:t>
            </w:r>
            <w:proofErr w:type="spellEnd"/>
          </w:p>
          <w:p w14:paraId="7B4A98C3" w14:textId="77777777" w:rsidR="00022DB6" w:rsidRPr="00022DB6" w:rsidRDefault="00022DB6" w:rsidP="00022DB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-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suprafața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acoperită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măsuri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numărul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situri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vizate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relevanța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acestor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situri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ceea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privește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speciile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tipurile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habitate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din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regiunile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biogeografice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respective;</w:t>
            </w:r>
          </w:p>
          <w:p w14:paraId="77D37ADB" w14:textId="77777777" w:rsidR="00022DB6" w:rsidRPr="00022DB6" w:rsidRDefault="00022DB6" w:rsidP="00022DB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-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îmbunătățirea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așteptată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stării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conservare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speciilor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habitatelor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cu o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atenție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deosebită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asupra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celor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considerate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prioritare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/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sau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celor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care au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fost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raportate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ca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având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o stare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conservare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nefavorabilă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;</w:t>
            </w:r>
          </w:p>
          <w:p w14:paraId="071D13E1" w14:textId="77777777" w:rsidR="00022DB6" w:rsidRPr="00022DB6" w:rsidRDefault="00022DB6" w:rsidP="00022DB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-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îmbunătățirea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așteptată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pe termen lung, 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capacității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monitorizare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evaluare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stării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speciilor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habitatelor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importanță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pentru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UE</w:t>
            </w:r>
          </w:p>
          <w:p w14:paraId="01905D02" w14:textId="77777777" w:rsidR="00EB3985" w:rsidRPr="00022DB6" w:rsidRDefault="00022DB6" w:rsidP="00022DB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-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acțiunile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prevăzute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pentru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integrarea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eficientă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obiectivelor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conservare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naturii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teritoriul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vizat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proiectul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strategic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integrat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cadrul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altor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politici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mecanisme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finanțare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relevante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.</w:t>
            </w: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Propunerile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trebui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prezinte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proiecte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cuprinzătoare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care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atingă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obiectivul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lor principal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să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genereze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același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timp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beneficii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pentru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alte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obiective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mediu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climatice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.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Aceste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beneficii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suplimentare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pot include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contribuții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la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Strategia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UE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privind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biodiversitatea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pentru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2030, precum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la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atingerea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stării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ecologice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bune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conform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Directivei-cadru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privind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strategia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pentru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mediul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marin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sau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la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îndeplinirea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obiectivelor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Directivei-cadru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privind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apa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cum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fi</w:t>
            </w: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 </w:t>
            </w:r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:</w:t>
            </w: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-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evaluarea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analiza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restaurarea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ecosistemelor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serviciilor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oferite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de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acestea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,</w:t>
            </w:r>
            <w:r w:rsidR="00EA5AA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 -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creșterea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contribuției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agriculturii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silviculturii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la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conservarea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biodiversității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,</w:t>
            </w:r>
            <w:r w:rsidR="00EA5AA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 -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reducerea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impactului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pescuitului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al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altor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utilizări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ale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resurselor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naturale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marine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costiere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asupra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biodiversității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,</w:t>
            </w:r>
            <w:r w:rsidR="00EA5AA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 -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monitorizarea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prevenirea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,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eradicarea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controlul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speciilor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alogene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invazive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,</w:t>
            </w:r>
            <w:r w:rsidR="00EA5AA0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 -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monitorizarea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și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conservarea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insectelor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 xml:space="preserve"> </w:t>
            </w:r>
            <w:proofErr w:type="spellStart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polenizatoare</w:t>
            </w:r>
            <w:proofErr w:type="spellEnd"/>
            <w:r w:rsidRPr="00022DB6">
              <w:rPr>
                <w:rFonts w:asciiTheme="majorBidi" w:eastAsia="Times New Roman" w:hAnsiTheme="majorBidi" w:cstheme="majorBidi"/>
                <w:color w:val="333333"/>
                <w:sz w:val="16"/>
                <w:szCs w:val="16"/>
                <w:lang w:val="en-US" w:eastAsia="en-US" w:bidi="he-IL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CC708" w14:textId="77777777" w:rsidR="00EB3985" w:rsidRDefault="00EA5AA0" w:rsidP="008F101E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Bugetele</w:t>
            </w:r>
            <w:proofErr w:type="spellEnd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proiectelor</w:t>
            </w:r>
            <w:proofErr w:type="spellEnd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trebuie</w:t>
            </w:r>
            <w:proofErr w:type="spellEnd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să</w:t>
            </w:r>
            <w:proofErr w:type="spellEnd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se </w:t>
            </w:r>
            <w:proofErr w:type="spellStart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încadreze</w:t>
            </w:r>
            <w:proofErr w:type="spellEnd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între</w:t>
            </w:r>
            <w:proofErr w:type="spellEnd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10 - 30 de </w:t>
            </w:r>
            <w:proofErr w:type="spellStart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milioane</w:t>
            </w:r>
            <w:proofErr w:type="spellEnd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euro.</w:t>
            </w:r>
          </w:p>
          <w:p w14:paraId="0E7C4551" w14:textId="77777777" w:rsidR="00EA5AA0" w:rsidRDefault="00EA5AA0" w:rsidP="008F101E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</w:p>
          <w:p w14:paraId="507BF760" w14:textId="77777777" w:rsidR="00EA5AA0" w:rsidRPr="004B2B43" w:rsidRDefault="00EA5AA0" w:rsidP="008F101E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Alocarea</w:t>
            </w:r>
            <w:proofErr w:type="spellEnd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financiară</w:t>
            </w:r>
            <w:proofErr w:type="spellEnd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este</w:t>
            </w:r>
            <w:proofErr w:type="spellEnd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72 </w:t>
            </w:r>
            <w:proofErr w:type="spellStart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milioane</w:t>
            </w:r>
            <w:proofErr w:type="spellEnd"/>
            <w:r w:rsidRPr="00EA5AA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DEFE2" w14:textId="77777777" w:rsidR="00EB3985" w:rsidRPr="004B2B43" w:rsidRDefault="00EA5AA0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A5AA0">
              <w:rPr>
                <w:rFonts w:ascii="Times New Roman" w:eastAsia="Times New Roman" w:hAnsi="Times New Roman" w:cs="Times New Roman"/>
                <w:lang w:val="en-US"/>
              </w:rPr>
              <w:t>Procentul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lang w:val="en-US"/>
              </w:rPr>
              <w:t>cofinanțare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lang w:val="en-US"/>
              </w:rPr>
              <w:t>partea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lang w:val="en-US"/>
              </w:rPr>
              <w:t>solicitanților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lang w:val="en-US"/>
              </w:rPr>
              <w:t>este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lang w:val="en-US"/>
              </w:rPr>
              <w:t xml:space="preserve"> de minim 40%.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896B3" w14:textId="77777777" w:rsidR="00EB3985" w:rsidRDefault="00EA5AA0" w:rsidP="003E79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04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septembrie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 17:00 (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ora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Bruxelles-ului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Etapa 1 -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depunerea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notelor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conceptuale</w:t>
            </w:r>
            <w:proofErr w:type="spellEnd"/>
          </w:p>
          <w:p w14:paraId="163A5CEC" w14:textId="77777777" w:rsidR="00EA5AA0" w:rsidRDefault="00EA5AA0" w:rsidP="003E79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580B8201" w14:textId="77777777" w:rsidR="00EA5AA0" w:rsidRPr="004B2B43" w:rsidRDefault="00EA5AA0" w:rsidP="003E79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05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martie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2026 17:00 (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ora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Bruxelles-ului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Etapa 2 -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depunerea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propunerilor</w:t>
            </w:r>
            <w:proofErr w:type="spellEnd"/>
            <w:r w:rsidRPr="00EA5A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complete.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4C874A03" w14:textId="77777777" w:rsidR="00EB3985" w:rsidRDefault="00EA5AA0" w:rsidP="00C36063">
            <w:pPr>
              <w:autoSpaceDE w:val="0"/>
              <w:spacing w:after="0" w:line="240" w:lineRule="auto"/>
            </w:pPr>
            <w:hyperlink r:id="rId16" w:history="1">
              <w:r w:rsidRPr="00DE2D31">
                <w:rPr>
                  <w:rStyle w:val="Hyperlink"/>
                </w:rPr>
                <w:t>https://www.fonduri-structurale.ro/finantari/1889/apel-pentru-proiecte-strategice-integrate-care-vizeaza-natura</w:t>
              </w:r>
            </w:hyperlink>
          </w:p>
          <w:p w14:paraId="7D2F3345" w14:textId="77777777" w:rsidR="00EA5AA0" w:rsidRDefault="00EA5AA0" w:rsidP="00C36063">
            <w:pPr>
              <w:autoSpaceDE w:val="0"/>
              <w:spacing w:after="0" w:line="240" w:lineRule="auto"/>
            </w:pPr>
          </w:p>
        </w:tc>
      </w:tr>
      <w:tr w:rsidR="00060D1D" w14:paraId="4B3635C1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C1967" w14:textId="77777777" w:rsidR="00060D1D" w:rsidRDefault="00060D1D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0D1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Comisia Europeană</w:t>
            </w:r>
          </w:p>
          <w:p w14:paraId="3A374202" w14:textId="77777777" w:rsidR="00060D1D" w:rsidRDefault="00060D1D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EC2C67" w14:textId="77777777" w:rsidR="00060D1D" w:rsidRDefault="00060D1D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0D1D">
              <w:rPr>
                <w:rFonts w:ascii="Times New Roman" w:hAnsi="Times New Roman" w:cs="Times New Roman"/>
                <w:b/>
                <w:sz w:val="18"/>
                <w:szCs w:val="18"/>
              </w:rPr>
              <w:t>Programul Life</w:t>
            </w:r>
          </w:p>
          <w:p w14:paraId="237057EB" w14:textId="77777777" w:rsidR="00060D1D" w:rsidRDefault="00060D1D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E98673" w14:textId="77777777" w:rsidR="00060D1D" w:rsidRDefault="00060D1D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D7A678" w14:textId="77777777" w:rsidR="00060D1D" w:rsidRPr="00EB3985" w:rsidRDefault="00060D1D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0D1D">
              <w:rPr>
                <w:rFonts w:ascii="Times New Roman" w:hAnsi="Times New Roman" w:cs="Times New Roman"/>
                <w:b/>
                <w:sz w:val="18"/>
                <w:szCs w:val="18"/>
              </w:rPr>
              <w:t>Combaterea vulnerabilității energetice a gospodăriilor din Europa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A2861" w14:textId="77777777" w:rsidR="00060D1D" w:rsidRPr="00EB3985" w:rsidRDefault="00060D1D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60D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vizează reducerea sărăciei energetice în Europa, sprijinind proiecte pentru îmbunătățirea accesului la energie pentru gospodării vulnerabile.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BE276" w14:textId="77777777" w:rsidR="00D50BB5" w:rsidRPr="00D50BB5" w:rsidRDefault="00D50BB5" w:rsidP="00D50BB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D50BB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Beneficiari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eligibili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:</w:t>
            </w:r>
          </w:p>
          <w:p w14:paraId="5F7B9ECF" w14:textId="77777777" w:rsidR="00060D1D" w:rsidRDefault="00D50BB5" w:rsidP="00D50BB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Propunerile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trebuie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fie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depuse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cel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puțin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3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solicitanți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(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organisme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sau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private) din 3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țări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eligibile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diferite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.</w:t>
            </w:r>
          </w:p>
          <w:p w14:paraId="24885227" w14:textId="77777777" w:rsidR="00D50BB5" w:rsidRPr="00D50BB5" w:rsidRDefault="00D50BB5" w:rsidP="00D50BB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Implementarea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proiectelor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poate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avea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loc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în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:</w:t>
            </w:r>
          </w:p>
          <w:p w14:paraId="1CC46BAD" w14:textId="77777777" w:rsidR="00D50BB5" w:rsidRPr="00D50BB5" w:rsidRDefault="00D50BB5" w:rsidP="00D50BB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Statele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membre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ale UE (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inclusiv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țările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teritoriile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peste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mări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)</w:t>
            </w:r>
          </w:p>
          <w:p w14:paraId="36638698" w14:textId="77777777" w:rsidR="00D50BB5" w:rsidRPr="00D50BB5" w:rsidRDefault="00D50BB5" w:rsidP="00D50BB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Țări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din afara UE: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țările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SEE enumerate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țările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asociate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>programului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val="en-US" w:eastAsia="en-US" w:bidi="he-IL"/>
              </w:rPr>
              <w:t xml:space="preserve"> LIFE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F3848" w14:textId="77777777" w:rsidR="00D50BB5" w:rsidRPr="00D50BB5" w:rsidRDefault="00D50BB5" w:rsidP="00D50BB5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Acțiunea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propusă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trebui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acopere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doar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unul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dintre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cele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două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domenii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mai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jos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:</w:t>
            </w:r>
          </w:p>
          <w:p w14:paraId="658EEB6F" w14:textId="77777777" w:rsidR="00D50BB5" w:rsidRPr="00D50BB5" w:rsidRDefault="00D50BB5" w:rsidP="00D50BB5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50BB5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Domeniul</w:t>
            </w:r>
            <w:proofErr w:type="spellEnd"/>
            <w:r w:rsidRPr="00D50BB5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</w:t>
            </w:r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: </w:t>
            </w:r>
            <w:r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Sprijin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politici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coordonare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destinat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autorităților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părților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interesate</w:t>
            </w:r>
            <w:proofErr w:type="spellEnd"/>
          </w:p>
          <w:p w14:paraId="36EAF3E4" w14:textId="77777777" w:rsidR="00D50BB5" w:rsidRPr="00D50BB5" w:rsidRDefault="00D50BB5" w:rsidP="00D50BB5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Acțiunile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trebui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sprijine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autoritățile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naționale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regionale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locale, precum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intermediarii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sociali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înființarea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unor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structuri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coordonare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pe termen lung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transsectoriale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combaterea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sărăciei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energetice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6E9B4140" w14:textId="77777777" w:rsidR="00060D1D" w:rsidRDefault="00D50BB5" w:rsidP="00D50BB5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Oferirea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sprijin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politic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adaptat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autorităților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naționale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implementarea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prevederilor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relevante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ale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Directivei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privind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Eficiența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Energetică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(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versiunea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refondată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),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astfel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încât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autoritățile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poată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concepe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adopta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acțiuni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concrete la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nivel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politici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sprijini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proteja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gospodăriile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aflate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sărăcie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energetică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.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Acțiunea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propusă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trebui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ofere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autorităților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sprijin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consiliere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exemplu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aspecte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reglementare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finanțare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tehnice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 le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ajuta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analizeze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mixul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lor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politici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naționale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coreleze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contextualizeze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integreze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diferitele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prevederi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legate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sărăcia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energetică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.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Scopul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este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a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permite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o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planificare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concepere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îmbunătățire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eficientă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coerentă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strategiilor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măsurilor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combatere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sărăciei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energetice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nivel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național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552322C5" w14:textId="77777777" w:rsidR="00D50BB5" w:rsidRPr="00D50BB5" w:rsidRDefault="00D50BB5" w:rsidP="00D50BB5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50BB5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Domeniul</w:t>
            </w:r>
            <w:proofErr w:type="spellEnd"/>
            <w:r w:rsidRPr="00D50BB5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B:</w:t>
            </w:r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Sprijin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renovarea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clădirilor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rezidențiale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multifamiliale</w:t>
            </w:r>
            <w:proofErr w:type="spellEnd"/>
          </w:p>
          <w:p w14:paraId="3FF9B669" w14:textId="77777777" w:rsidR="00D50BB5" w:rsidRPr="00D50BB5" w:rsidRDefault="00D50BB5" w:rsidP="00D50BB5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Acțiunile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din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cadrul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Domeniului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B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trebui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sprijine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renovarea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energetică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clădirilor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rezidențiale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multifamiliale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care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locuiesc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persoane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afectate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sărăcie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energetică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cu un accent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deosebit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pe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consolidarea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adaptarea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structurilor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guvernanță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luare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deciziilor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ale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administrației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clădirilor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ale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asociațiilor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proprietari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chiriași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abordând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obstacolele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din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cadrul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legislativ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aferent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(de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exemplu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legile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privind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proprietatea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închirierea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),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stimulentele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împărțite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organizarea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serviciilor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sprijin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relevante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.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Acțiunile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renovare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sprijinite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trebuie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țină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cont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capacitatea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rezidenților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a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rămâne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locuințele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lor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după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finalizarea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lucrărilor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evitând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astfel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așa-numitele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„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renovări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evacuare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”,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pot include,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asemenea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soluții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energie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regenerabilă</w:t>
            </w:r>
            <w:proofErr w:type="spellEnd"/>
            <w:r w:rsidRPr="00D50BB5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7A1A0" w14:textId="77777777" w:rsidR="00060D1D" w:rsidRDefault="00A46219" w:rsidP="008F101E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Valoarea</w:t>
            </w:r>
            <w:proofErr w:type="spellEnd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maximă</w:t>
            </w:r>
            <w:proofErr w:type="spellEnd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a </w:t>
            </w:r>
            <w:proofErr w:type="spellStart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finanțării</w:t>
            </w:r>
            <w:proofErr w:type="spellEnd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este</w:t>
            </w:r>
            <w:proofErr w:type="spellEnd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1.750.000 euro.</w:t>
            </w:r>
          </w:p>
          <w:p w14:paraId="10605BE8" w14:textId="77777777" w:rsidR="00A46219" w:rsidRPr="00EA5AA0" w:rsidRDefault="00A46219" w:rsidP="008F101E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Alocarea</w:t>
            </w:r>
            <w:proofErr w:type="spellEnd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financiară</w:t>
            </w:r>
            <w:proofErr w:type="spellEnd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este</w:t>
            </w:r>
            <w:proofErr w:type="spellEnd"/>
            <w:r w:rsidRPr="00A46219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6.000.000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29285" w14:textId="77777777" w:rsidR="00060D1D" w:rsidRPr="00EA5AA0" w:rsidRDefault="00AF5C4A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F5C4A">
              <w:rPr>
                <w:rFonts w:ascii="Times New Roman" w:eastAsia="Times New Roman" w:hAnsi="Times New Roman" w:cs="Times New Roman"/>
                <w:lang w:val="en-US"/>
              </w:rPr>
              <w:t>Procentul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AF5C4A">
              <w:rPr>
                <w:rFonts w:ascii="Times New Roman" w:eastAsia="Times New Roman" w:hAnsi="Times New Roman" w:cs="Times New Roman"/>
                <w:lang w:val="en-US"/>
              </w:rPr>
              <w:t>cofinanțare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AF5C4A">
              <w:rPr>
                <w:rFonts w:ascii="Times New Roman" w:eastAsia="Times New Roman" w:hAnsi="Times New Roman" w:cs="Times New Roman"/>
                <w:lang w:val="en-US"/>
              </w:rPr>
              <w:t>partea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F5C4A">
              <w:rPr>
                <w:rFonts w:ascii="Times New Roman" w:eastAsia="Times New Roman" w:hAnsi="Times New Roman" w:cs="Times New Roman"/>
                <w:lang w:val="en-US"/>
              </w:rPr>
              <w:t>solicitanților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F5C4A">
              <w:rPr>
                <w:rFonts w:ascii="Times New Roman" w:eastAsia="Times New Roman" w:hAnsi="Times New Roman" w:cs="Times New Roman"/>
                <w:lang w:val="en-US"/>
              </w:rPr>
              <w:t>este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lang w:val="en-US"/>
              </w:rPr>
              <w:t xml:space="preserve"> de minim 5%.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BDDD8" w14:textId="77777777" w:rsidR="00060D1D" w:rsidRPr="00EA5AA0" w:rsidRDefault="00AF5C4A" w:rsidP="003E79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Perioada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depunere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proiectelor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între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24 </w:t>
            </w:r>
            <w:proofErr w:type="spellStart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aprilie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 </w:t>
            </w:r>
            <w:proofErr w:type="spellStart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23 </w:t>
            </w:r>
            <w:proofErr w:type="spellStart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septembrie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 – 17:00 CET (</w:t>
            </w:r>
            <w:proofErr w:type="spellStart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Bruxelles</w:t>
            </w:r>
            <w:proofErr w:type="spellEnd"/>
            <w:r w:rsidRPr="00AF5C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186A8608" w14:textId="77777777" w:rsidR="00060D1D" w:rsidRDefault="00AF5C4A" w:rsidP="00C36063">
            <w:pPr>
              <w:autoSpaceDE w:val="0"/>
              <w:spacing w:after="0" w:line="240" w:lineRule="auto"/>
            </w:pPr>
            <w:hyperlink r:id="rId17" w:history="1">
              <w:r w:rsidRPr="00DE2D31">
                <w:rPr>
                  <w:rStyle w:val="Hyperlink"/>
                </w:rPr>
                <w:t>https://www.fonduri-structurale.ro/finantari/1891/combaterea-vulnerabilitatii-energetice-a-gospodariilor-din-europa</w:t>
              </w:r>
            </w:hyperlink>
          </w:p>
          <w:p w14:paraId="49A49D60" w14:textId="77777777" w:rsidR="00AF5C4A" w:rsidRDefault="00AF5C4A" w:rsidP="00C36063">
            <w:pPr>
              <w:autoSpaceDE w:val="0"/>
              <w:spacing w:after="0" w:line="240" w:lineRule="auto"/>
            </w:pPr>
          </w:p>
        </w:tc>
      </w:tr>
      <w:tr w:rsidR="00CA0AEB" w14:paraId="75761472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90AB2" w14:textId="77777777" w:rsidR="00CA0AEB" w:rsidRDefault="00D0656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56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Comisia Europeană</w:t>
            </w:r>
          </w:p>
          <w:p w14:paraId="4ADC49D9" w14:textId="77777777" w:rsidR="00D06565" w:rsidRDefault="00D0656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9D4FD" w14:textId="77777777" w:rsidR="00D06565" w:rsidRDefault="00D0656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565">
              <w:rPr>
                <w:rFonts w:ascii="Times New Roman" w:hAnsi="Times New Roman" w:cs="Times New Roman"/>
                <w:b/>
                <w:sz w:val="18"/>
                <w:szCs w:val="18"/>
              </w:rPr>
              <w:t>Programul Life</w:t>
            </w:r>
          </w:p>
          <w:p w14:paraId="143CA882" w14:textId="77777777" w:rsidR="00D06565" w:rsidRDefault="00D0656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93859" w14:textId="77777777" w:rsidR="00D06565" w:rsidRPr="00060D1D" w:rsidRDefault="00D0656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565">
              <w:rPr>
                <w:rFonts w:ascii="Times New Roman" w:hAnsi="Times New Roman" w:cs="Times New Roman"/>
                <w:b/>
                <w:sz w:val="18"/>
                <w:szCs w:val="18"/>
              </w:rPr>
              <w:t>Dezvoltarea și modernizarea rețelelor centralizate de încălzire și răcire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3B3E0" w14:textId="77777777" w:rsidR="00CA0AEB" w:rsidRPr="00060D1D" w:rsidRDefault="00D0656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065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vizează sprijinirea rețelelor de încălzire și răcire, concentrându-se pe tranziția către energie curată.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85E48" w14:textId="77777777" w:rsidR="00D06565" w:rsidRPr="00D06565" w:rsidRDefault="00D06565" w:rsidP="00D0656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Beneficiari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eligibili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:</w:t>
            </w:r>
          </w:p>
          <w:p w14:paraId="27F5DC0E" w14:textId="77777777" w:rsidR="00CA0AEB" w:rsidRDefault="00D06565" w:rsidP="00D0656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Propunerile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trebuie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să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fie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depuse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de cel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puțin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3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solicitanți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(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organisme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sau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private) din 3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țări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eligibile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diferite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.</w:t>
            </w:r>
          </w:p>
          <w:p w14:paraId="1E07CE25" w14:textId="77777777" w:rsidR="00D06565" w:rsidRPr="00D06565" w:rsidRDefault="00D06565" w:rsidP="00D0656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Implementarea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proiectelor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poate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avea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loc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în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:</w:t>
            </w:r>
          </w:p>
          <w:p w14:paraId="2C7C18BD" w14:textId="77777777" w:rsidR="00D06565" w:rsidRPr="00D06565" w:rsidRDefault="00D06565" w:rsidP="00D0656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Statele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membre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ale UE (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inclusiv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țările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teritoriile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peste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mări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)</w:t>
            </w:r>
          </w:p>
          <w:p w14:paraId="2FCDE673" w14:textId="77777777" w:rsidR="00D06565" w:rsidRPr="00D50BB5" w:rsidRDefault="00D06565" w:rsidP="00D0656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Țări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din afara UE: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țările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SEE enumerate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țările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asociate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programului</w:t>
            </w:r>
            <w:proofErr w:type="spellEnd"/>
            <w:r w:rsidRPr="00D06565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LIFE.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E90D0" w14:textId="77777777" w:rsidR="00877CC9" w:rsidRPr="00877CC9" w:rsidRDefault="00877CC9" w:rsidP="00877CC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Propunerile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trebuie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vizeze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unul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dintre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aspectele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mai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jos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se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preconizează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acționa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:</w:t>
            </w:r>
          </w:p>
          <w:p w14:paraId="0ED63689" w14:textId="77777777" w:rsidR="00877CC9" w:rsidRPr="00877CC9" w:rsidRDefault="00877CC9" w:rsidP="00877CC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-</w:t>
            </w:r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cu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operatorii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proprietarii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sistemelor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centralizate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încălzire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existente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 le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oferi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sprijinul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tehnic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necesar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vederea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pregătirii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planurilor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investiții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trecerea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alte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tipuri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combustibil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cadrul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sistemelor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existente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încălzire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centralizată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astfel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încât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acestea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îndeplinească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criteriile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„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încălzire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răcire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centralizată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eficientă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”,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așa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cum sunt definite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Directiva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privind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eficiența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energetică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.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Aceasta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poate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include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extinderea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rețelelor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existente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încălzire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răcire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centralizată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cu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condiția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ca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acestea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fie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alimentate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exclusiv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din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surse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energie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regenerabilă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căldură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reziduală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fie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garantată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îndeplinirea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criteriului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rețele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eficiente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încălzire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răcire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4AF6D75F" w14:textId="77777777" w:rsidR="00CA0AEB" w:rsidRDefault="00877CC9" w:rsidP="00877CC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-</w:t>
            </w:r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cu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autoritățile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locale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părțile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interesate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relevante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elaborarea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planurilor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investiții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noi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rețele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încălzire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răcire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centralizată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cu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condiția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ca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acestea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fie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alimentate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exclusiv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din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surse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energie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regenerabilă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căldură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reziduală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acordând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o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atenție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deosebită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clădirilor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existente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7AB13ACA" w14:textId="77777777" w:rsidR="00877CC9" w:rsidRPr="00877CC9" w:rsidRDefault="00877CC9" w:rsidP="00877CC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Propunerea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trebuie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descrie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clar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metodologia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activitățile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planificate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privind</w:t>
            </w:r>
            <w:proofErr w:type="spellEnd"/>
            <w:r w:rsidRPr="00877CC9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:</w:t>
            </w:r>
          </w:p>
          <w:p w14:paraId="7C294B12" w14:textId="77777777" w:rsidR="00877CC9" w:rsidRPr="00877CC9" w:rsidRDefault="00877CC9" w:rsidP="00877CC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identificarea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resurselor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energetice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locale, a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infrastructurii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necesare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potențialelor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costuri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investiții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5731DCC3" w14:textId="77777777" w:rsidR="00877CC9" w:rsidRPr="00877CC9" w:rsidRDefault="00877CC9" w:rsidP="00877CC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evaluarea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compatibilității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fondul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imobiliar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existent.</w:t>
            </w:r>
          </w:p>
          <w:p w14:paraId="2EEEFBFC" w14:textId="77777777" w:rsidR="00877CC9" w:rsidRPr="00877CC9" w:rsidRDefault="00877CC9" w:rsidP="00877CC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implicarea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părților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interesate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locale,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după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caz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special a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potențialilor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furnizori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căldură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reziduală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potențialilor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clienți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2145AF8A" w14:textId="77777777" w:rsidR="00877CC9" w:rsidRPr="00877CC9" w:rsidRDefault="00877CC9" w:rsidP="00877CC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pregătirea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unui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plan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afaceri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care include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veniturile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preconizate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costurile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operaționale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cheltuielile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capital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rentabilitatea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investiției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096C156E" w14:textId="77777777" w:rsidR="00877CC9" w:rsidRPr="00877CC9" w:rsidRDefault="00877CC9" w:rsidP="00877CC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identificarea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surselor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finanțare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(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granturi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împrumuturi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investiții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private...)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strategiei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asigurare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capitalului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proiect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127EDDB4" w14:textId="77777777" w:rsidR="00877CC9" w:rsidRPr="00877CC9" w:rsidRDefault="00877CC9" w:rsidP="00877CC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procesul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oficial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aprobare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planurilor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investiții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către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părțile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interesate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relevante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exemplu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consiliul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administrație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al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companiei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încălzire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centralizată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autoritățile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locale;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acest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lucru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trebui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se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reflecte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rezultatele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așteptate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280BF378" w14:textId="77777777" w:rsidR="00877CC9" w:rsidRPr="00D50BB5" w:rsidRDefault="00877CC9" w:rsidP="00877CC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respectarea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legilor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reglementărilor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locale,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regionale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naționale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referitoare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producția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distribuția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consumul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energie</w:t>
            </w:r>
            <w:proofErr w:type="spellEnd"/>
            <w:r w:rsidRPr="00877CC9">
              <w:rPr>
                <w:rFonts w:asciiTheme="majorBidi" w:eastAsia="Times New Roman" w:hAnsiTheme="majorBidi" w:cstheme="majorBidi"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81B75" w14:textId="77777777" w:rsidR="00CA0AEB" w:rsidRDefault="004B3F9D" w:rsidP="008F101E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Valoarea</w:t>
            </w:r>
            <w:proofErr w:type="spellEnd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maximă</w:t>
            </w:r>
            <w:proofErr w:type="spellEnd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a </w:t>
            </w:r>
            <w:proofErr w:type="spellStart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finanțării</w:t>
            </w:r>
            <w:proofErr w:type="spellEnd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este</w:t>
            </w:r>
            <w:proofErr w:type="spellEnd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2.000.000 euro.</w:t>
            </w:r>
          </w:p>
          <w:p w14:paraId="199241AE" w14:textId="77777777" w:rsidR="004B3F9D" w:rsidRPr="00A46219" w:rsidRDefault="004B3F9D" w:rsidP="008F101E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Alocarea</w:t>
            </w:r>
            <w:proofErr w:type="spellEnd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financiară</w:t>
            </w:r>
            <w:proofErr w:type="spellEnd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este</w:t>
            </w:r>
            <w:proofErr w:type="spellEnd"/>
            <w:r w:rsidRPr="004B3F9D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6.000.000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7286" w14:textId="77777777" w:rsidR="00CA0AEB" w:rsidRPr="00AF5C4A" w:rsidRDefault="004B3F9D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B3F9D">
              <w:rPr>
                <w:rFonts w:ascii="Times New Roman" w:eastAsia="Times New Roman" w:hAnsi="Times New Roman" w:cs="Times New Roman"/>
                <w:lang w:val="en-US"/>
              </w:rPr>
              <w:t>Procentul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4B3F9D">
              <w:rPr>
                <w:rFonts w:ascii="Times New Roman" w:eastAsia="Times New Roman" w:hAnsi="Times New Roman" w:cs="Times New Roman"/>
                <w:lang w:val="en-US"/>
              </w:rPr>
              <w:t>cofinanțare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4B3F9D">
              <w:rPr>
                <w:rFonts w:ascii="Times New Roman" w:eastAsia="Times New Roman" w:hAnsi="Times New Roman" w:cs="Times New Roman"/>
                <w:lang w:val="en-US"/>
              </w:rPr>
              <w:t>partea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B3F9D">
              <w:rPr>
                <w:rFonts w:ascii="Times New Roman" w:eastAsia="Times New Roman" w:hAnsi="Times New Roman" w:cs="Times New Roman"/>
                <w:lang w:val="en-US"/>
              </w:rPr>
              <w:t>solicitanților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B3F9D">
              <w:rPr>
                <w:rFonts w:ascii="Times New Roman" w:eastAsia="Times New Roman" w:hAnsi="Times New Roman" w:cs="Times New Roman"/>
                <w:lang w:val="en-US"/>
              </w:rPr>
              <w:t>este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lang w:val="en-US"/>
              </w:rPr>
              <w:t xml:space="preserve"> de minim 5%.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C4F01" w14:textId="77777777" w:rsidR="00CA0AEB" w:rsidRPr="00AF5C4A" w:rsidRDefault="004B3F9D" w:rsidP="003E79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Perioada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depunere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proiectelor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este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între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24 </w:t>
            </w:r>
            <w:proofErr w:type="spellStart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aprilie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 </w:t>
            </w:r>
            <w:proofErr w:type="spellStart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23 </w:t>
            </w:r>
            <w:proofErr w:type="spellStart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septembrie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 – 17:00 CET (</w:t>
            </w:r>
            <w:proofErr w:type="spellStart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Bruxelles</w:t>
            </w:r>
            <w:proofErr w:type="spellEnd"/>
            <w:r w:rsidRPr="004B3F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155FA86A" w14:textId="77777777" w:rsidR="00CA0AEB" w:rsidRDefault="004B3F9D" w:rsidP="00C36063">
            <w:pPr>
              <w:autoSpaceDE w:val="0"/>
              <w:spacing w:after="0" w:line="240" w:lineRule="auto"/>
            </w:pPr>
            <w:hyperlink r:id="rId18" w:history="1">
              <w:r w:rsidRPr="00DE2D31">
                <w:rPr>
                  <w:rStyle w:val="Hyperlink"/>
                </w:rPr>
                <w:t>https://www.fonduri-structurale.ro/finantari/1885/dezvoltarea-si-modernizarea-retelelor-centralizate-de-incalzire-si-racire</w:t>
              </w:r>
            </w:hyperlink>
          </w:p>
          <w:p w14:paraId="11CCB630" w14:textId="77777777" w:rsidR="004B3F9D" w:rsidRDefault="004B3F9D" w:rsidP="00C36063">
            <w:pPr>
              <w:autoSpaceDE w:val="0"/>
              <w:spacing w:after="0" w:line="240" w:lineRule="auto"/>
            </w:pPr>
          </w:p>
        </w:tc>
      </w:tr>
      <w:tr w:rsidR="00583C23" w14:paraId="7096169A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B3E6B" w14:textId="77777777" w:rsidR="00583C23" w:rsidRDefault="00583C23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3C2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Comisia Europeană</w:t>
            </w:r>
          </w:p>
          <w:p w14:paraId="3A966304" w14:textId="77777777" w:rsidR="00583C23" w:rsidRDefault="00583C23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1699E" w14:textId="77777777" w:rsidR="00583C23" w:rsidRDefault="00583C23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3C23">
              <w:rPr>
                <w:rFonts w:ascii="Times New Roman" w:hAnsi="Times New Roman" w:cs="Times New Roman"/>
                <w:b/>
                <w:sz w:val="18"/>
                <w:szCs w:val="18"/>
              </w:rPr>
              <w:t>Programul Life</w:t>
            </w:r>
          </w:p>
          <w:p w14:paraId="521DB215" w14:textId="77777777" w:rsidR="00583C23" w:rsidRDefault="00583C23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5A7BE" w14:textId="77777777" w:rsidR="00583C23" w:rsidRPr="00D06565" w:rsidRDefault="00583C23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3C23">
              <w:rPr>
                <w:rFonts w:ascii="Times New Roman" w:hAnsi="Times New Roman" w:cs="Times New Roman"/>
                <w:b/>
                <w:sz w:val="18"/>
                <w:szCs w:val="18"/>
              </w:rPr>
              <w:t>Servicii integrate pentru sprijinirea tranziției energetice în clădiri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1153E" w14:textId="77777777" w:rsidR="00583C23" w:rsidRPr="00D06565" w:rsidRDefault="00583C23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83C2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finanțează servicii integrate pentru tranziția la energie curată în clădiri, sprijinind autoritățile locale în implementarea soluțiilor eficiente.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8B09B" w14:textId="77777777" w:rsidR="00583C23" w:rsidRPr="00583C23" w:rsidRDefault="00583C23" w:rsidP="00583C23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Beneficiari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eligibili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:</w:t>
            </w:r>
          </w:p>
          <w:p w14:paraId="7DFC1647" w14:textId="77777777" w:rsidR="00583C23" w:rsidRDefault="00583C23" w:rsidP="00583C23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Persoanele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juridice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(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organisme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sau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private)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stabilite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în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statele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membre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sau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în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țările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asociate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programului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Life</w:t>
            </w:r>
          </w:p>
          <w:p w14:paraId="4AEFAF2F" w14:textId="77777777" w:rsidR="00583C23" w:rsidRPr="00583C23" w:rsidRDefault="00583C23" w:rsidP="00583C23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Implementarea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proiectelor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poate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avea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loc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în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:</w:t>
            </w:r>
          </w:p>
          <w:p w14:paraId="68206E9F" w14:textId="77777777" w:rsidR="00583C23" w:rsidRPr="00583C23" w:rsidRDefault="00583C23" w:rsidP="00583C23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Statele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membre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ale UE (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inclusiv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țările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teritoriile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peste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mări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)</w:t>
            </w:r>
          </w:p>
          <w:p w14:paraId="3F40ADB7" w14:textId="77777777" w:rsidR="00583C23" w:rsidRPr="00D06565" w:rsidRDefault="00583C23" w:rsidP="00583C23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-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Țări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din afara UE: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țările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SEE enumerate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țările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asociate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>programului</w:t>
            </w:r>
            <w:proofErr w:type="spellEnd"/>
            <w:r w:rsidRPr="00583C23"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  <w:t xml:space="preserve"> LIFE.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52B29" w14:textId="77777777" w:rsidR="00583C23" w:rsidRDefault="00583C23" w:rsidP="00583C23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</w:pPr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Pe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baza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abordării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generice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obiectivelor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comune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propunerile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depuse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cadrul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acestei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teme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se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așteaptă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se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concentreze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pe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unul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dintre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domeniile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specifice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mai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jos</w:t>
            </w:r>
            <w:proofErr w:type="spellEnd"/>
            <w:r w:rsidRPr="00E70929">
              <w:rPr>
                <w:rFonts w:asciiTheme="majorBidi" w:eastAsia="Times New Roman" w:hAnsiTheme="majorBidi" w:cstheme="majorBidi"/>
                <w:color w:val="333333"/>
                <w:sz w:val="12"/>
                <w:szCs w:val="12"/>
                <w:lang w:val="en-US" w:eastAsia="en-US" w:bidi="he-IL"/>
              </w:rPr>
              <w:t>:</w:t>
            </w:r>
            <w:r w:rsidR="00E70929" w:rsidRPr="00E70929">
              <w:rPr>
                <w:rFonts w:asciiTheme="majorBidi" w:eastAsia="Times New Roman" w:hAnsiTheme="majorBidi" w:cstheme="majorBidi"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Domeniul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aplicare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A:</w:t>
            </w:r>
            <w:r w:rsidR="00E70929" w:rsidRPr="00E70929">
              <w:rPr>
                <w:rFonts w:asciiTheme="majorBidi" w:eastAsia="Times New Roman" w:hAnsiTheme="majorBidi" w:cstheme="majorBidi"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r w:rsidRPr="00E70929">
              <w:rPr>
                <w:rFonts w:asciiTheme="majorBidi" w:eastAsia="Times New Roman" w:hAnsiTheme="majorBidi" w:cstheme="majorBidi"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r w:rsidR="00E70929">
              <w:rPr>
                <w:rFonts w:asciiTheme="majorBidi" w:eastAsia="Times New Roman" w:hAnsiTheme="majorBidi" w:cstheme="majorBidi"/>
                <w:color w:val="333333"/>
                <w:sz w:val="12"/>
                <w:szCs w:val="12"/>
                <w:lang w:val="en-US" w:eastAsia="en-US" w:bidi="he-IL"/>
              </w:rPr>
              <w:t>-</w:t>
            </w:r>
            <w:r w:rsidRPr="00E70929">
              <w:rPr>
                <w:rFonts w:asciiTheme="majorBidi" w:eastAsia="Times New Roman" w:hAnsiTheme="majorBidi" w:cstheme="majorBidi"/>
                <w:color w:val="333333"/>
                <w:sz w:val="12"/>
                <w:szCs w:val="12"/>
                <w:lang w:val="en-US" w:eastAsia="en-US" w:bidi="he-IL"/>
              </w:rPr>
              <w:t>-</w:t>
            </w:r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Servicii integrate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renovare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locuințelorAcțiunile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trebui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se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concentreze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mod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clar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pe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renovarea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energetică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clădirilor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unifamiliale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sau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multifamiliale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existente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din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sectorul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rezidențial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privat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.</w:t>
            </w:r>
            <w:r w:rsid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Serviciile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dezvoltate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trebui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acopere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întregul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„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parcurs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al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clientului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” al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proprietarilor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locuințe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care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doresc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renoveze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locuința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.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Structurile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dedicate (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entități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juridice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sau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consorții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organizații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)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trebui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ofere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servicii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integrate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renovare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locuințelor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cu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intenția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explicită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furniza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servicii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care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aparțin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sectorului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competitiv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.</w:t>
            </w:r>
            <w:r w:rsid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Se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așteaptă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ca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propunerile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ofere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sprijin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proactiv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proprietarilor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locuințe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de la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proiectarea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tehnică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obținerea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autorizațiilor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selecția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profesioniștilor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calificați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contractarea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lucrărilor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structurarea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/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sau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furnizarea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finanțare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(de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exemplu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împrumuturi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),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până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la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supravegherea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antreprenorilor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pentru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efectuarea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lucrărilor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renovare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asigurarea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calității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.</w:t>
            </w:r>
          </w:p>
          <w:p w14:paraId="71658A06" w14:textId="77777777" w:rsidR="00E70929" w:rsidRDefault="00E70929" w:rsidP="00E7092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</w:pPr>
            <w:proofErr w:type="spellStart"/>
            <w:r w:rsidRPr="0071577D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Domeniul</w:t>
            </w:r>
            <w:proofErr w:type="spellEnd"/>
            <w:r w:rsidRPr="0071577D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71577D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aplicare</w:t>
            </w:r>
            <w:proofErr w:type="spellEnd"/>
            <w:r w:rsidRPr="0071577D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B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: 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-</w:t>
            </w:r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Servicii integrate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pentru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modernizarea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energetică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locuințelor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închiriatAcțiunile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trebui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se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concentreze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mod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clar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pe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renovările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energetice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ale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locuințelor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închiriate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existente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deț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inute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entități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profesionale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.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Exemple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părți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interesate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care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putea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fi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vizate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serviciile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dezvoltate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sunt,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printre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altele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: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companii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private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locuințe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cooperative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locuințe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operatori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locuințe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sociale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investitori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imobiliari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administratori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proprietăți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administratori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clădi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organizații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non-profit etc.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Serviciile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dezvoltate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trebui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depășească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simpla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furnizare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informații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diagnostice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generice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.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Acestea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trebuie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abordeze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asemenea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obiective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cheie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cum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fi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dezvoltarea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parteneriate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strategice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special cu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companii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construcții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/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sau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instituții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financiare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;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dezvoltarea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scheme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financiare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/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sau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fiscale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personalizate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specifice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locuințelor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închiriat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precum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implementarea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practică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unor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modele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afaceri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sustenabile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valorificând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valorile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proprietăților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optimizând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dinamica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pieței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asigurând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randamente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constante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ale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investițiilor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.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Propunerile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trebui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asemenea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acorde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o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atenție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deosebită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aspectelor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guvernanță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exemplu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dezvoltarea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unui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cadru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pentru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facilitarea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deciziilor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soluționării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conflictelor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între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coproprietari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sau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dezvoltarea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unui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cadru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astfel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încât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chiriașii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poată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participa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la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luarea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deciziilor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împartă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parțial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riscurile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beneficiile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</w:p>
          <w:p w14:paraId="5F6D08FB" w14:textId="77777777" w:rsidR="00E70929" w:rsidRPr="00E70929" w:rsidRDefault="00E70929" w:rsidP="00E7092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</w:pP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Domeniul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aplicare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C: 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-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Comunitatea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UE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practicienilor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„Servicii integrate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renovare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locuințelor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”</w:t>
            </w:r>
          </w:p>
          <w:p w14:paraId="74FE6850" w14:textId="77777777" w:rsidR="00E70929" w:rsidRPr="00E70929" w:rsidRDefault="00E70929" w:rsidP="00E7092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</w:pP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ceea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privește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domeniile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tematice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interes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se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așteaptă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ca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această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comunitate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ofere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constatări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recomandări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consolidate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pentru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inițiativele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emergente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curs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dezvoltare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precum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pentru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autoritățile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reglementare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naționale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/locale care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lucrează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pentru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facilita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implementarea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ghișeelor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​​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unice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.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Domeniile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cheie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activitate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includ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:</w:t>
            </w:r>
          </w:p>
          <w:p w14:paraId="5EF4AAD0" w14:textId="77777777" w:rsidR="00E70929" w:rsidRPr="00E70929" w:rsidRDefault="00E70929" w:rsidP="00E7092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</w:pP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Poziționare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strategică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: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Identificarea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lacunelor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pieței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,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crearea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oferte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servicii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atractive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explorarea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unor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modele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afaceri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scalabile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.</w:t>
            </w:r>
          </w:p>
          <w:p w14:paraId="6B49E12D" w14:textId="77777777" w:rsidR="00E70929" w:rsidRPr="00E70929" w:rsidRDefault="00E70929" w:rsidP="00E7092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</w:pP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Instrumente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metodologii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: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Eficientizarea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proceselor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renovare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dezvoltarea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instrumente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inovatoare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.</w:t>
            </w:r>
          </w:p>
          <w:p w14:paraId="0C505F9B" w14:textId="77777777" w:rsidR="00E70929" w:rsidRPr="00E70929" w:rsidRDefault="00E70929" w:rsidP="00E7092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</w:pP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Dezvoltarea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competențelor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: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Identificarea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profesiilor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emergente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nevoilor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formare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.</w:t>
            </w:r>
          </w:p>
          <w:p w14:paraId="02707249" w14:textId="77777777" w:rsidR="00E70929" w:rsidRPr="00E70929" w:rsidRDefault="00E70929" w:rsidP="00E7092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</w:pP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Parteneriate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: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Stabilirea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unor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colaborări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solide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cu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actorii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pe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piață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pentru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asigura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servicii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înaltă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calitate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.</w:t>
            </w:r>
          </w:p>
          <w:p w14:paraId="2EDD1E1B" w14:textId="77777777" w:rsidR="00E70929" w:rsidRDefault="00E70929" w:rsidP="00E7092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</w:pP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Asigurarea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calității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protecția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consumatorilor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: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Asigurarea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fiabilității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și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încrederii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consumatorilor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în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serviciile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de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renovare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 xml:space="preserve"> a </w:t>
            </w:r>
            <w:proofErr w:type="spellStart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locuințelor</w:t>
            </w:r>
            <w:proofErr w:type="spellEnd"/>
            <w:r w:rsidRPr="00E70929"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  <w:t>.</w:t>
            </w:r>
          </w:p>
          <w:p w14:paraId="73D8C581" w14:textId="77777777" w:rsidR="00E70929" w:rsidRPr="00E70929" w:rsidRDefault="00E70929" w:rsidP="00E70929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</w:pPr>
          </w:p>
          <w:p w14:paraId="5E1DD295" w14:textId="77777777" w:rsidR="00E70929" w:rsidRPr="00E70929" w:rsidRDefault="00E70929" w:rsidP="00583C23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2"/>
                <w:szCs w:val="12"/>
                <w:lang w:val="en-US" w:eastAsia="en-US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48D8C" w14:textId="77777777" w:rsidR="0005738B" w:rsidRPr="0005738B" w:rsidRDefault="0005738B" w:rsidP="0005738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Pentru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domeniile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aplicare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A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și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B,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valoarea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maximă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a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finanțării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este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1,5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milioane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euro.</w:t>
            </w:r>
          </w:p>
          <w:p w14:paraId="4A571185" w14:textId="77777777" w:rsidR="00583C23" w:rsidRDefault="0005738B" w:rsidP="0005738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Pentru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domeniul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aplicare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C,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valoarea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finanțării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trebuie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să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se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încadreze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între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2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milioane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și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2,5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milioane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euro.</w:t>
            </w:r>
          </w:p>
          <w:p w14:paraId="0947F71B" w14:textId="77777777" w:rsidR="0005738B" w:rsidRPr="004B3F9D" w:rsidRDefault="0005738B" w:rsidP="0005738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Alocarea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financiară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este</w:t>
            </w:r>
            <w:proofErr w:type="spellEnd"/>
            <w:r w:rsidRPr="0005738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10.000.000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F8DD8" w14:textId="77777777" w:rsidR="00583C23" w:rsidRPr="004B3F9D" w:rsidRDefault="0005738B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5738B">
              <w:rPr>
                <w:rFonts w:ascii="Times New Roman" w:eastAsia="Times New Roman" w:hAnsi="Times New Roman" w:cs="Times New Roman"/>
                <w:lang w:val="en-US"/>
              </w:rPr>
              <w:t>Procentul</w:t>
            </w:r>
            <w:proofErr w:type="spellEnd"/>
            <w:r w:rsidRPr="0005738B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5738B">
              <w:rPr>
                <w:rFonts w:ascii="Times New Roman" w:eastAsia="Times New Roman" w:hAnsi="Times New Roman" w:cs="Times New Roman"/>
                <w:lang w:val="en-US"/>
              </w:rPr>
              <w:t>cofinanțare</w:t>
            </w:r>
            <w:proofErr w:type="spellEnd"/>
            <w:r w:rsidRPr="0005738B">
              <w:rPr>
                <w:rFonts w:ascii="Times New Roman" w:eastAsia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05738B">
              <w:rPr>
                <w:rFonts w:ascii="Times New Roman" w:eastAsia="Times New Roman" w:hAnsi="Times New Roman" w:cs="Times New Roman"/>
                <w:lang w:val="en-US"/>
              </w:rPr>
              <w:t>partea</w:t>
            </w:r>
            <w:proofErr w:type="spellEnd"/>
            <w:r w:rsidRPr="0005738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5738B">
              <w:rPr>
                <w:rFonts w:ascii="Times New Roman" w:eastAsia="Times New Roman" w:hAnsi="Times New Roman" w:cs="Times New Roman"/>
                <w:lang w:val="en-US"/>
              </w:rPr>
              <w:t>solicitanților</w:t>
            </w:r>
            <w:proofErr w:type="spellEnd"/>
            <w:r w:rsidRPr="0005738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5738B">
              <w:rPr>
                <w:rFonts w:ascii="Times New Roman" w:eastAsia="Times New Roman" w:hAnsi="Times New Roman" w:cs="Times New Roman"/>
                <w:lang w:val="en-US"/>
              </w:rPr>
              <w:t>este</w:t>
            </w:r>
            <w:proofErr w:type="spellEnd"/>
            <w:r w:rsidRPr="0005738B">
              <w:rPr>
                <w:rFonts w:ascii="Times New Roman" w:eastAsia="Times New Roman" w:hAnsi="Times New Roman" w:cs="Times New Roman"/>
                <w:lang w:val="en-US"/>
              </w:rPr>
              <w:t xml:space="preserve"> de minim 5%.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15270" w14:textId="77777777" w:rsidR="00583C23" w:rsidRPr="004B3F9D" w:rsidRDefault="0005738B" w:rsidP="003E79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5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24 </w:t>
            </w:r>
            <w:proofErr w:type="spellStart"/>
            <w:r w:rsidRPr="0005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aprilie</w:t>
            </w:r>
            <w:proofErr w:type="spellEnd"/>
            <w:r w:rsidRPr="0005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 </w:t>
            </w:r>
            <w:proofErr w:type="spellStart"/>
            <w:r w:rsidRPr="0005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5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23 </w:t>
            </w:r>
            <w:proofErr w:type="spellStart"/>
            <w:r w:rsidRPr="0005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septembrie</w:t>
            </w:r>
            <w:proofErr w:type="spellEnd"/>
            <w:r w:rsidRPr="0005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 – 17:00 CET (</w:t>
            </w:r>
            <w:proofErr w:type="spellStart"/>
            <w:r w:rsidRPr="0005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Bruxelles</w:t>
            </w:r>
            <w:proofErr w:type="spellEnd"/>
            <w:r w:rsidRPr="0005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01D46AA8" w14:textId="77777777" w:rsidR="00583C23" w:rsidRDefault="0005738B" w:rsidP="00C36063">
            <w:pPr>
              <w:autoSpaceDE w:val="0"/>
              <w:spacing w:after="0" w:line="240" w:lineRule="auto"/>
            </w:pPr>
            <w:hyperlink r:id="rId19" w:history="1">
              <w:r w:rsidRPr="00DE2D31">
                <w:rPr>
                  <w:rStyle w:val="Hyperlink"/>
                </w:rPr>
                <w:t>https://www.fonduri-structurale.ro/finantari/1884/servicii-integrate-pentru-sprijinirea-tranzitiei-energetice-in-cladiri</w:t>
              </w:r>
            </w:hyperlink>
          </w:p>
          <w:p w14:paraId="4D0C6BF3" w14:textId="77777777" w:rsidR="0005738B" w:rsidRDefault="0005738B" w:rsidP="00C36063">
            <w:pPr>
              <w:autoSpaceDE w:val="0"/>
              <w:spacing w:after="0" w:line="240" w:lineRule="auto"/>
            </w:pPr>
          </w:p>
        </w:tc>
      </w:tr>
      <w:tr w:rsidR="003072C1" w14:paraId="5F4E608D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E142C" w14:textId="77777777" w:rsidR="003072C1" w:rsidRDefault="003072C1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C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Centrul European de Competență pentru Inovare Socială</w:t>
            </w:r>
          </w:p>
          <w:p w14:paraId="7088AA22" w14:textId="77777777" w:rsidR="003072C1" w:rsidRDefault="003072C1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3C580" w14:textId="77777777" w:rsidR="003072C1" w:rsidRDefault="003072C1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Social </w:t>
            </w:r>
            <w:proofErr w:type="spellStart"/>
            <w:r w:rsidRPr="003072C1">
              <w:rPr>
                <w:rFonts w:ascii="Times New Roman" w:hAnsi="Times New Roman" w:cs="Times New Roman"/>
                <w:b/>
                <w:sz w:val="18"/>
                <w:szCs w:val="18"/>
              </w:rPr>
              <w:t>Innovation</w:t>
            </w:r>
            <w:proofErr w:type="spellEnd"/>
            <w:r w:rsidRPr="003072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Plus (SI+)</w:t>
            </w:r>
          </w:p>
          <w:p w14:paraId="33EC8FC0" w14:textId="77777777" w:rsidR="00E967F0" w:rsidRDefault="00E967F0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5380D5" w14:textId="77777777" w:rsidR="00E967F0" w:rsidRPr="00583C23" w:rsidRDefault="00E967F0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7F0">
              <w:rPr>
                <w:rFonts w:ascii="Times New Roman" w:hAnsi="Times New Roman" w:cs="Times New Roman"/>
                <w:b/>
                <w:sz w:val="18"/>
                <w:szCs w:val="18"/>
              </w:rPr>
              <w:t>Apel pentru soluții inovatoare privind îmbunătățirea integrării persoanelor cu dizabilități pe piața muncii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23B2E" w14:textId="77777777" w:rsidR="003072C1" w:rsidRPr="00583C23" w:rsidRDefault="00E967F0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9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de proiecte vizează implementarea Pachetului pentru Angajarea Persoanelor cu Dizabilități, finanțând inovații pentru a îmbunătăți rezultatele pe piața muncii pentru acest grup de persoane.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51859" w14:textId="77777777" w:rsidR="00E967F0" w:rsidRDefault="00E967F0" w:rsidP="00E967F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Beneficiari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eligibili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:  </w:t>
            </w:r>
          </w:p>
          <w:p w14:paraId="6423D07E" w14:textId="77777777" w:rsidR="00E967F0" w:rsidRPr="00E967F0" w:rsidRDefault="00E967F0" w:rsidP="00E967F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Ministerele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Muncii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Afacerilor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Sociale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Servicii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ocupare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forței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muncă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(SPE),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agenții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ocupare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forței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muncă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centre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ocupare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forței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muncă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.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Autorități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naționale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regionale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locale,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autorități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municipalități</w:t>
            </w:r>
            <w:proofErr w:type="spellEnd"/>
          </w:p>
          <w:p w14:paraId="4D025A86" w14:textId="77777777" w:rsidR="00E967F0" w:rsidRPr="00E967F0" w:rsidRDefault="00E967F0" w:rsidP="00E967F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Entități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educație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formare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profesională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,</w:t>
            </w:r>
          </w:p>
          <w:p w14:paraId="6E57B4F9" w14:textId="77777777" w:rsidR="00E967F0" w:rsidRPr="00E967F0" w:rsidRDefault="00E967F0" w:rsidP="00E967F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Centre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comunitare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locale,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---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Entități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neguvernamentale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non-profit (de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exemplu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organizații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ale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societății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civile,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asociații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fundații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întreprinderi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sociale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etc.),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special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cele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care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reprezintă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persoanele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dizabilități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35C69CAF" w14:textId="77777777" w:rsidR="00E967F0" w:rsidRPr="00E967F0" w:rsidRDefault="00E967F0" w:rsidP="00E967F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Organisme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reprezentative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legate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piața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muncii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inclusiv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camerele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comerț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alte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asociații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comerciale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,</w:t>
            </w:r>
          </w:p>
          <w:p w14:paraId="1F75B287" w14:textId="77777777" w:rsidR="00E967F0" w:rsidRPr="00E967F0" w:rsidRDefault="00E967F0" w:rsidP="00E967F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Sindicatele,Entități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educație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cercetare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,</w:t>
            </w:r>
          </w:p>
          <w:p w14:paraId="014EAD6E" w14:textId="77777777" w:rsidR="00E967F0" w:rsidRPr="00E967F0" w:rsidRDefault="00E967F0" w:rsidP="00E967F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Furnizori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servicii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orientare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consultanță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legate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ocuparea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forței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muncă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incluziune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socială</w:t>
            </w:r>
            <w:proofErr w:type="spellEnd"/>
          </w:p>
          <w:p w14:paraId="425FF3E8" w14:textId="77777777" w:rsidR="00E967F0" w:rsidRPr="00E967F0" w:rsidRDefault="00E967F0" w:rsidP="00E967F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Finanțatori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privați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etc.</w:t>
            </w:r>
          </w:p>
          <w:p w14:paraId="761CE5CB" w14:textId="77777777" w:rsidR="003072C1" w:rsidRDefault="00E967F0" w:rsidP="00E967F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Companii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E967F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private).</w:t>
            </w:r>
          </w:p>
          <w:p w14:paraId="4DA8923C" w14:textId="77777777" w:rsidR="00E967F0" w:rsidRPr="00E967F0" w:rsidRDefault="00E967F0" w:rsidP="00E967F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DA71" w14:textId="77777777" w:rsidR="00E967F0" w:rsidRPr="00C16636" w:rsidRDefault="00E967F0" w:rsidP="00E967F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Activitățile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eligibile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sunt:</w:t>
            </w:r>
          </w:p>
          <w:p w14:paraId="0A0F084E" w14:textId="77777777" w:rsidR="003072C1" w:rsidRPr="00C16636" w:rsidRDefault="00E967F0" w:rsidP="00E967F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Construirea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unei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viziuni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comune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asupra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nevoilor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sociale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legate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piața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muncii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care nu sunt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satisfăcute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sunt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insuficient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acoperite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consolidarea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colaborării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dezvoltarea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capacității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între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actorii-cheie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7DBE5759" w14:textId="77777777" w:rsidR="00C16636" w:rsidRPr="00C16636" w:rsidRDefault="00C16636" w:rsidP="00C1663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Identificarea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definirea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provocărilor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:</w:t>
            </w:r>
          </w:p>
          <w:p w14:paraId="0A29E852" w14:textId="77777777" w:rsidR="00C16636" w:rsidRDefault="00C16636" w:rsidP="00C1663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-De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exemplu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implicarea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părților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interesate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cheie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realizarea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unei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cartografieri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cuprinzătoare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barierelor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calea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ocupării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forței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muncă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persoanele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dizabilități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diferite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industrii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regiuni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medii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lucru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04C2565A" w14:textId="77777777" w:rsidR="00C16636" w:rsidRPr="00C16636" w:rsidRDefault="00C16636" w:rsidP="00C1663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Identificarea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adaptarea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modelelor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inovare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socială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care au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îmbunătățit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rezultatele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materie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ocupare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forței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muncă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persoanele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dizabilități</w:t>
            </w:r>
            <w:proofErr w:type="spellEnd"/>
          </w:p>
          <w:p w14:paraId="2E7775E4" w14:textId="77777777" w:rsidR="00C16636" w:rsidRPr="00C16636" w:rsidRDefault="00C16636" w:rsidP="00C1663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Selectarea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metodei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adecvate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scalarea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unei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inovații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sociale</w:t>
            </w:r>
            <w:proofErr w:type="spellEnd"/>
          </w:p>
          <w:p w14:paraId="37F27256" w14:textId="77777777" w:rsidR="00C16636" w:rsidRPr="00C16636" w:rsidRDefault="00C16636" w:rsidP="00C1663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exemplu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determinarea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celei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mai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potrivite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abordări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scalare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pe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baza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contextului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barierelor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nevoilor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persoanelor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dizabilități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6B192428" w14:textId="77777777" w:rsidR="00C16636" w:rsidRPr="00C16636" w:rsidRDefault="00C16636" w:rsidP="00C1663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Implementarea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învățării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continue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scalării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bazate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pe impact.</w:t>
            </w:r>
          </w:p>
          <w:p w14:paraId="3E8D0758" w14:textId="77777777" w:rsidR="00C16636" w:rsidRPr="00C16636" w:rsidRDefault="00C16636" w:rsidP="00C1663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exemplu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integrarea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reflecției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evaluării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regulate pe tot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parcursul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proiectului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permite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revizuiri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îmbunătățiri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timp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mai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degrabă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decât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limitarea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evaluării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final (de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exemplu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evenimente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implicare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părților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interesate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ateliere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feedback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sesiuni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învățare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revizui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datele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evalua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progresul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),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asigura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inovațiile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rămân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eficiente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scalabile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435F9BB4" w14:textId="77777777" w:rsidR="00C16636" w:rsidRPr="00C16636" w:rsidRDefault="00C16636" w:rsidP="00C1663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Demersuri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integrarea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durabilă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aplicarea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consecventă</w:t>
            </w:r>
            <w:proofErr w:type="spellEnd"/>
          </w:p>
          <w:p w14:paraId="45E50EF9" w14:textId="77777777" w:rsidR="00C16636" w:rsidRPr="00C16636" w:rsidRDefault="00C16636" w:rsidP="00C1663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exemplu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încurajarea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colaborării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între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părțile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interesate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cheie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asigura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implementarea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durabilă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pe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scară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largă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soluțiilor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ocupare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forței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muncă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dovedite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persoanele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dizabilități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politicile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naționale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locale,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practicile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angajatorilor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serviciile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ocupare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forței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muncă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7F7C4457" w14:textId="77777777" w:rsidR="00C16636" w:rsidRPr="00C16636" w:rsidRDefault="00C16636" w:rsidP="00C1663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Participarea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evenimente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învățare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reciprocă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organizate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Centrul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European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Competențe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Inovație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Socială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înființat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cadrul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Inițiativei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FSE+ SI+)</w:t>
            </w:r>
          </w:p>
          <w:p w14:paraId="5D56AE4C" w14:textId="77777777" w:rsidR="00C16636" w:rsidRPr="00C16636" w:rsidRDefault="00C16636" w:rsidP="00C1663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Aceasta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este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crucială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învățarea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reciprocă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între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beneficiari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urmare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obligatorie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. Se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preconizează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organizarea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2-4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evenimente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învățare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reciprocă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timpul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implementării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proiectelor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(maxim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două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evenimente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vor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avea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loc la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fața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locului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provizoriu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Vilnius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Bruxelles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),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celelalte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online).</w:t>
            </w:r>
          </w:p>
          <w:p w14:paraId="61697AA4" w14:textId="77777777" w:rsidR="00C16636" w:rsidRPr="00E967F0" w:rsidRDefault="00C16636" w:rsidP="00C16636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20"/>
                <w:szCs w:val="20"/>
                <w:lang w:val="en-US" w:eastAsia="en-US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2C809" w14:textId="77777777" w:rsidR="003072C1" w:rsidRDefault="00C16636" w:rsidP="0005738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Valoarea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estimată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a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grantului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între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500.000 euro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și</w:t>
            </w:r>
            <w:proofErr w:type="spellEnd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1.000.000 euro per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proiect</w:t>
            </w:r>
            <w:proofErr w:type="spellEnd"/>
          </w:p>
          <w:p w14:paraId="6810CEAB" w14:textId="77777777" w:rsidR="00C16636" w:rsidRDefault="00C16636" w:rsidP="0005738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</w:p>
          <w:p w14:paraId="67D5684F" w14:textId="77777777" w:rsidR="00C16636" w:rsidRPr="0005738B" w:rsidRDefault="00C16636" w:rsidP="0005738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Alocarea</w:t>
            </w:r>
            <w:proofErr w:type="spellEnd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financiară</w:t>
            </w:r>
            <w:proofErr w:type="spellEnd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este</w:t>
            </w:r>
            <w:proofErr w:type="spellEnd"/>
            <w:r w:rsidRPr="00C16636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10.000.000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F9803" w14:textId="77777777" w:rsidR="003072C1" w:rsidRPr="0005738B" w:rsidRDefault="00C16636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16636">
              <w:rPr>
                <w:rFonts w:ascii="Times New Roman" w:eastAsia="Times New Roman" w:hAnsi="Times New Roman" w:cs="Times New Roman"/>
                <w:lang w:val="en-US"/>
              </w:rPr>
              <w:t>Procentul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lang w:val="en-US"/>
              </w:rPr>
              <w:t>cofinanțare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lang w:val="en-US"/>
              </w:rPr>
              <w:t xml:space="preserve"> al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lang w:val="en-US"/>
              </w:rPr>
              <w:t>solicitantului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lang w:val="en-US"/>
              </w:rPr>
              <w:t>este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lang w:val="en-US"/>
              </w:rPr>
              <w:t xml:space="preserve"> de cel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lang w:val="en-US"/>
              </w:rPr>
              <w:t>puțin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lang w:val="en-US"/>
              </w:rPr>
              <w:t xml:space="preserve"> 20%.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7617D" w14:textId="77777777" w:rsidR="003072C1" w:rsidRPr="0005738B" w:rsidRDefault="00C16636" w:rsidP="003E79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166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03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iunie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30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octombrie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2025,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ora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17:00 CET.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2373CD4F" w14:textId="77777777" w:rsidR="003072C1" w:rsidRDefault="00C16636" w:rsidP="00C36063">
            <w:pPr>
              <w:autoSpaceDE w:val="0"/>
              <w:spacing w:after="0" w:line="240" w:lineRule="auto"/>
            </w:pPr>
            <w:hyperlink r:id="rId20" w:history="1">
              <w:r w:rsidRPr="00DE2D31">
                <w:rPr>
                  <w:rStyle w:val="Hyperlink"/>
                </w:rPr>
                <w:t>https://www.fonduri-structurale.ro/finantari/1882/apel-pentru-solutii-inovatoare-privind-imbunatatirea-integrarii-persoanelor-cu-dizabilitati-pe-piata-muncii</w:t>
              </w:r>
            </w:hyperlink>
          </w:p>
          <w:p w14:paraId="2C9806EC" w14:textId="77777777" w:rsidR="00C16636" w:rsidRDefault="00C16636" w:rsidP="00C36063">
            <w:pPr>
              <w:autoSpaceDE w:val="0"/>
              <w:spacing w:after="0" w:line="240" w:lineRule="auto"/>
            </w:pPr>
          </w:p>
        </w:tc>
      </w:tr>
      <w:tr w:rsidR="00566618" w14:paraId="123A2B4A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AF2BD" w14:textId="77777777" w:rsidR="00566618" w:rsidRDefault="00566618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61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Comisia Europeană</w:t>
            </w:r>
          </w:p>
          <w:p w14:paraId="569F1D9E" w14:textId="77777777" w:rsidR="00566618" w:rsidRDefault="00566618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4011E3" w14:textId="77777777" w:rsidR="00566618" w:rsidRDefault="00566618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618">
              <w:rPr>
                <w:rFonts w:ascii="Times New Roman" w:hAnsi="Times New Roman" w:cs="Times New Roman"/>
                <w:b/>
                <w:sz w:val="18"/>
                <w:szCs w:val="18"/>
              </w:rPr>
              <w:t>Programul Life</w:t>
            </w:r>
          </w:p>
          <w:p w14:paraId="01FB02FE" w14:textId="77777777" w:rsidR="00566618" w:rsidRDefault="00566618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E6F5E" w14:textId="77777777" w:rsidR="00566618" w:rsidRPr="003C46D2" w:rsidRDefault="00566618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618">
              <w:rPr>
                <w:rFonts w:ascii="Times New Roman" w:hAnsi="Times New Roman" w:cs="Times New Roman"/>
                <w:b/>
                <w:sz w:val="18"/>
                <w:szCs w:val="18"/>
              </w:rPr>
              <w:t>Apel pentru proiecte strategice integrate în domeniul mediului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31941" w14:textId="77777777" w:rsidR="00566618" w:rsidRPr="003C46D2" w:rsidRDefault="00566618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66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finanțează proiecte strategice integrate pentru mediu.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B49F" w14:textId="77777777" w:rsidR="00566618" w:rsidRPr="00566618" w:rsidRDefault="00566618" w:rsidP="00566618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Beneficiari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eligibili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:</w:t>
            </w:r>
          </w:p>
          <w:p w14:paraId="444A01B7" w14:textId="77777777" w:rsidR="00566618" w:rsidRPr="00566618" w:rsidRDefault="00566618" w:rsidP="00566618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Consorțiu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format din cel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puțin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2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solicitanți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(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persoanele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juridice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-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organisme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publice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sau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private) </w:t>
            </w:r>
          </w:p>
          <w:p w14:paraId="6630AE08" w14:textId="77777777" w:rsidR="00566618" w:rsidRDefault="00566618" w:rsidP="00566618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Autoritatea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responsabilă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plan/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strategie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/plan de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acțiune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ar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trebui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,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în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principiu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,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participe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la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consorțiu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în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calitate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coordonator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.</w:t>
            </w:r>
          </w:p>
          <w:p w14:paraId="74915FF7" w14:textId="77777777" w:rsidR="00566618" w:rsidRPr="00566618" w:rsidRDefault="00566618" w:rsidP="00566618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Implementarea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proiectelor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poate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avea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loc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în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:</w:t>
            </w:r>
          </w:p>
          <w:p w14:paraId="081B78A0" w14:textId="77777777" w:rsidR="00566618" w:rsidRPr="00566618" w:rsidRDefault="00566618" w:rsidP="00566618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Statele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membre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ale UE (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inclusiv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țările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teritoriile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peste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mări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)</w:t>
            </w:r>
          </w:p>
          <w:p w14:paraId="20EF4933" w14:textId="77777777" w:rsidR="00566618" w:rsidRPr="003C46D2" w:rsidRDefault="00566618" w:rsidP="00566618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Țări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din afara UE: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țările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SEE enumerate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țările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asociate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programului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LIFE.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7F06A" w14:textId="77777777" w:rsidR="00566618" w:rsidRPr="00566618" w:rsidRDefault="00566618" w:rsidP="00566618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Condiții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eligibilitate</w:t>
            </w:r>
            <w:proofErr w:type="spellEnd"/>
          </w:p>
          <w:p w14:paraId="752EBF89" w14:textId="77777777" w:rsidR="00566618" w:rsidRPr="00566618" w:rsidRDefault="00566618" w:rsidP="00566618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Propunerile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trebuie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depuse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un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consorțiu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format din cel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puțin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2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solicitanți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persoanele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juridice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-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organisme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private) </w:t>
            </w:r>
          </w:p>
          <w:p w14:paraId="1D76F158" w14:textId="77777777" w:rsidR="00566618" w:rsidRPr="00566618" w:rsidRDefault="00566618" w:rsidP="00566618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Autoritatea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responsabilă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plan/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strategie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/plan de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acțiune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ar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trebui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principiu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participe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consorțiu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calitate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coordonator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77157922" w14:textId="77777777" w:rsidR="00566618" w:rsidRPr="00566618" w:rsidRDefault="00566618" w:rsidP="00566618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Solicitanții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beneficiarii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entitățile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afiliate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)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trebuie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:</w:t>
            </w:r>
          </w:p>
          <w:p w14:paraId="0DD50816" w14:textId="77777777" w:rsidR="00566618" w:rsidRPr="00566618" w:rsidRDefault="00566618" w:rsidP="00566618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fie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persoane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juridice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organisme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private)</w:t>
            </w:r>
          </w:p>
          <w:p w14:paraId="40A3FBD9" w14:textId="77777777" w:rsidR="00566618" w:rsidRPr="00566618" w:rsidRDefault="00566618" w:rsidP="00566618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fie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stabilit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într-una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dintre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țările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eligibile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anume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:</w:t>
            </w:r>
          </w:p>
          <w:p w14:paraId="6E019516" w14:textId="77777777" w:rsidR="00566618" w:rsidRPr="00566618" w:rsidRDefault="00566618" w:rsidP="00566618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Statele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membre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ale UE (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inclusiv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țările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teritoriile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peste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mări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)</w:t>
            </w:r>
          </w:p>
          <w:p w14:paraId="4DC1645A" w14:textId="77777777" w:rsidR="00566618" w:rsidRPr="00566618" w:rsidRDefault="00566618" w:rsidP="00566618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Țări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din afara UE: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țările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SEE enumerate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țările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asociate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programului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LIFE.</w:t>
            </w:r>
          </w:p>
          <w:p w14:paraId="0F33B82D" w14:textId="77777777" w:rsidR="00566618" w:rsidRPr="00566618" w:rsidRDefault="00566618" w:rsidP="00566618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coordonatorul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trebuie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fie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stabilit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într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-o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țară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eligibilă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;</w:t>
            </w:r>
          </w:p>
          <w:p w14:paraId="4E2D43E7" w14:textId="77777777" w:rsidR="00566618" w:rsidRPr="00566618" w:rsidRDefault="00566618" w:rsidP="00566618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Beneficiarii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entitățile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afiliate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trebuie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se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înregistreze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Registrul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participanților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—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înainte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a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depune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propunerea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—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vor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trebui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validați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Serviciul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Central de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Validare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Validare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REA).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validare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li se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va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solicita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încarce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documente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care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ateste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statutul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juridic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originea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3992DF8B" w14:textId="77777777" w:rsidR="00566618" w:rsidRPr="00566618" w:rsidRDefault="00566618" w:rsidP="00566618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Solicitanții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trebuie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dispună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resurse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stabile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suficiente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implementa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succes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proiectele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contribui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partea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lor.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Organizațiile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care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participă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mai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multe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proiecte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trebuie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aibă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o capacitate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suficientă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implementa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toate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proiectele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52969D2E" w14:textId="77777777" w:rsidR="00566618" w:rsidRPr="00566618" w:rsidRDefault="00566618" w:rsidP="00566618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Solicitanții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trebuie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dețină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cunoștințele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calificările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resursele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necesare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implementa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succes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proiectele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inclusiv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suficientă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experiență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proiecte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dimensiuni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natură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comparabile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).</w:t>
            </w:r>
          </w:p>
          <w:p w14:paraId="7718C4B3" w14:textId="77777777" w:rsidR="00566618" w:rsidRPr="00566618" w:rsidRDefault="00566618" w:rsidP="00566618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Solicitanții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nu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trebuie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se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afle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niciuna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dintre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situațiile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excludere</w:t>
            </w:r>
            <w:proofErr w:type="spellEnd"/>
            <w:r w:rsidRPr="00566618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F02D0" w14:textId="77777777" w:rsidR="00566618" w:rsidRPr="0075781D" w:rsidRDefault="00622E70" w:rsidP="0005738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Fără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punctaj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maxim: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Fiecare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criteriu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fi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evaluat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în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funcție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îndeplinirea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sa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sau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nu.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Dacă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unul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sau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mai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multe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criterii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nu sunt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îndeplinite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,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propunerea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fi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considerată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respinsă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și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nu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fi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invitată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în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etapa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următoare</w:t>
            </w:r>
            <w:proofErr w:type="spellEnd"/>
            <w:r w:rsidRPr="00622E7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B9BBC" w14:textId="77777777" w:rsidR="00566618" w:rsidRPr="0075781D" w:rsidRDefault="00566618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261A7" w14:textId="77777777" w:rsidR="00622E70" w:rsidRDefault="00622E70" w:rsidP="00622E7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04 </w:t>
            </w:r>
            <w:proofErr w:type="spellStart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septembrie</w:t>
            </w:r>
            <w:proofErr w:type="spellEnd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 17:00 (</w:t>
            </w:r>
            <w:proofErr w:type="spellStart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ora</w:t>
            </w:r>
            <w:proofErr w:type="spellEnd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Bruxelles-ului</w:t>
            </w:r>
            <w:proofErr w:type="spellEnd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Etapa 1 - </w:t>
            </w:r>
            <w:proofErr w:type="spellStart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depunerea</w:t>
            </w:r>
            <w:proofErr w:type="spellEnd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notelor</w:t>
            </w:r>
            <w:proofErr w:type="spellEnd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conceptuale</w:t>
            </w:r>
            <w:proofErr w:type="spellEnd"/>
          </w:p>
          <w:p w14:paraId="4818FBCA" w14:textId="77777777" w:rsidR="00622E70" w:rsidRPr="00622E70" w:rsidRDefault="00622E70" w:rsidP="00622E7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1805019" w14:textId="77777777" w:rsidR="00566618" w:rsidRPr="0075781D" w:rsidRDefault="00622E70" w:rsidP="00622E7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05 </w:t>
            </w:r>
            <w:proofErr w:type="spellStart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martie</w:t>
            </w:r>
            <w:proofErr w:type="spellEnd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2026 17:00 (</w:t>
            </w:r>
            <w:proofErr w:type="spellStart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ora</w:t>
            </w:r>
            <w:proofErr w:type="spellEnd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Bruxelles-ului</w:t>
            </w:r>
            <w:proofErr w:type="spellEnd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Etapa 2 - </w:t>
            </w:r>
            <w:proofErr w:type="spellStart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depunerea</w:t>
            </w:r>
            <w:proofErr w:type="spellEnd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propunerilor</w:t>
            </w:r>
            <w:proofErr w:type="spellEnd"/>
            <w:r w:rsidRPr="00622E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complete.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328D8F26" w14:textId="77777777" w:rsidR="00566618" w:rsidRDefault="00622E70" w:rsidP="00C36063">
            <w:pPr>
              <w:autoSpaceDE w:val="0"/>
              <w:spacing w:after="0" w:line="240" w:lineRule="auto"/>
            </w:pPr>
            <w:hyperlink r:id="rId21" w:history="1">
              <w:r w:rsidRPr="00DE2D31">
                <w:rPr>
                  <w:rStyle w:val="Hyperlink"/>
                </w:rPr>
                <w:t>https://www.fonduri-structurale.ro/finantari/1855/apel-pentru-proiecte-strategice-integrate-in-domeniul-mediului</w:t>
              </w:r>
            </w:hyperlink>
          </w:p>
          <w:p w14:paraId="7BB963E4" w14:textId="77777777" w:rsidR="00622E70" w:rsidRDefault="00622E70" w:rsidP="00C36063">
            <w:pPr>
              <w:autoSpaceDE w:val="0"/>
              <w:spacing w:after="0" w:line="240" w:lineRule="auto"/>
            </w:pPr>
          </w:p>
        </w:tc>
      </w:tr>
      <w:tr w:rsidR="00BF1C45" w14:paraId="72369496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B5EB8" w14:textId="77777777" w:rsidR="006B1925" w:rsidRDefault="00AA2E1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2E1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Comisia Europeană</w:t>
            </w:r>
          </w:p>
          <w:p w14:paraId="4F8D9275" w14:textId="77777777" w:rsidR="00AA2E15" w:rsidRDefault="00AA2E1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3875A3" w14:textId="77777777" w:rsidR="00AA2E15" w:rsidRDefault="00AA2E1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2E15">
              <w:rPr>
                <w:rFonts w:ascii="Times New Roman" w:hAnsi="Times New Roman" w:cs="Times New Roman"/>
                <w:b/>
                <w:sz w:val="18"/>
                <w:szCs w:val="18"/>
              </w:rPr>
              <w:t>Programul Life</w:t>
            </w:r>
          </w:p>
          <w:p w14:paraId="6205AD9A" w14:textId="77777777" w:rsidR="00AA2E15" w:rsidRDefault="00AA2E1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E1E06A" w14:textId="77777777" w:rsidR="00AA2E15" w:rsidRPr="00566618" w:rsidRDefault="00AA2E1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2E15">
              <w:rPr>
                <w:rFonts w:ascii="Times New Roman" w:hAnsi="Times New Roman" w:cs="Times New Roman"/>
                <w:b/>
                <w:sz w:val="18"/>
                <w:szCs w:val="18"/>
              </w:rPr>
              <w:t>Finanțare pentru guvernanța de mediu - proiecte de acțiune standard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AF277" w14:textId="77777777" w:rsidR="00BF1C45" w:rsidRPr="00566618" w:rsidRDefault="00AA2E15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A2E1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de proiecte vizează activități pentru economia circulară și calitatea vieții, finanțând inițiative legate de mediu și schimbări climatice.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7C4C" w14:textId="77777777" w:rsidR="00AA2E15" w:rsidRPr="00AA2E15" w:rsidRDefault="00AA2E15" w:rsidP="00AA2E1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Beneficiari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eligibili</w:t>
            </w:r>
            <w:proofErr w:type="spellEnd"/>
            <w:r w:rsid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:</w:t>
            </w:r>
          </w:p>
          <w:p w14:paraId="2F814AE0" w14:textId="77777777" w:rsidR="00BF1C45" w:rsidRPr="00566618" w:rsidRDefault="00AA2E15" w:rsidP="00AA2E1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Persoanele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juridice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(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organisme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publice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sau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private) 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stabilite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în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statele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membre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sau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în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țările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asociate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programului</w:t>
            </w:r>
            <w:proofErr w:type="spellEnd"/>
            <w:r w:rsidRPr="00AA2E15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Life.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22FFF" w14:textId="77777777" w:rsidR="00F7637B" w:rsidRPr="00F7637B" w:rsidRDefault="00F7637B" w:rsidP="00F7637B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Activitățile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eligibile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cuprind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:</w:t>
            </w:r>
          </w:p>
          <w:p w14:paraId="5097FB17" w14:textId="77777777" w:rsidR="00BF1C45" w:rsidRDefault="00F7637B" w:rsidP="00F7637B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Activități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susținere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a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procesului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decizional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al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administrației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publice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a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abordărilor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voluntare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pentru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sectorul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public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privat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:</w:t>
            </w:r>
          </w:p>
          <w:p w14:paraId="718876B2" w14:textId="77777777" w:rsidR="00F7637B" w:rsidRDefault="00F7637B" w:rsidP="00F7637B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-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Asigurarea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conformitații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mediu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accesul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la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justiție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.</w:t>
            </w:r>
          </w:p>
          <w:p w14:paraId="1B3E8699" w14:textId="77777777" w:rsidR="00F7637B" w:rsidRDefault="00F7637B" w:rsidP="00F7637B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Modificarea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comportamentului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și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inițiative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 xml:space="preserve"> de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conștientizare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  <w:t>:</w:t>
            </w:r>
          </w:p>
          <w:p w14:paraId="48BE5FD7" w14:textId="77777777" w:rsidR="00F7637B" w:rsidRDefault="00F7637B" w:rsidP="00F7637B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</w:p>
          <w:p w14:paraId="4A6FA727" w14:textId="77777777" w:rsidR="00F7637B" w:rsidRDefault="00F7637B" w:rsidP="00F7637B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</w:p>
          <w:p w14:paraId="386C5A29" w14:textId="77777777" w:rsidR="00F7637B" w:rsidRPr="00F7637B" w:rsidRDefault="00F7637B" w:rsidP="00F7637B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  <w:lang w:val="en-US" w:eastAsia="en-US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BAC50" w14:textId="77777777" w:rsidR="00F7637B" w:rsidRPr="00F7637B" w:rsidRDefault="00F7637B" w:rsidP="00F7637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Bugetele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proiectelor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trebuie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să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se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încadreze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între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0,7 - 2 mil euro.</w:t>
            </w:r>
          </w:p>
          <w:p w14:paraId="339E559A" w14:textId="77777777" w:rsidR="00F7637B" w:rsidRPr="00F7637B" w:rsidRDefault="00F7637B" w:rsidP="00F7637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</w:p>
          <w:p w14:paraId="5C46B4EF" w14:textId="77777777" w:rsidR="00BF1C45" w:rsidRDefault="00F7637B" w:rsidP="00F7637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Numărul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estimativ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proiecte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care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urmează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să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fie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finanțate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: 3/4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proiecte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.</w:t>
            </w:r>
          </w:p>
          <w:p w14:paraId="1F981350" w14:textId="77777777" w:rsidR="00F7637B" w:rsidRPr="00622E70" w:rsidRDefault="00F7637B" w:rsidP="00F7637B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Bugetul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total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etimat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este</w:t>
            </w:r>
            <w:proofErr w:type="spellEnd"/>
            <w:r w:rsidRPr="00F7637B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4,000,000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9996A" w14:textId="77777777" w:rsidR="00BF1C45" w:rsidRPr="0075781D" w:rsidRDefault="00F7637B" w:rsidP="006D742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637B">
              <w:rPr>
                <w:rFonts w:ascii="Times New Roman" w:eastAsia="Times New Roman" w:hAnsi="Times New Roman" w:cs="Times New Roman"/>
                <w:lang w:val="en-US"/>
              </w:rPr>
              <w:t>Procentul</w:t>
            </w:r>
            <w:proofErr w:type="spellEnd"/>
            <w:r w:rsidRPr="00F7637B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7637B">
              <w:rPr>
                <w:rFonts w:ascii="Times New Roman" w:eastAsia="Times New Roman" w:hAnsi="Times New Roman" w:cs="Times New Roman"/>
                <w:lang w:val="en-US"/>
              </w:rPr>
              <w:t>cofinanțare</w:t>
            </w:r>
            <w:proofErr w:type="spellEnd"/>
            <w:r w:rsidRPr="00F7637B">
              <w:rPr>
                <w:rFonts w:ascii="Times New Roman" w:eastAsia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F7637B">
              <w:rPr>
                <w:rFonts w:ascii="Times New Roman" w:eastAsia="Times New Roman" w:hAnsi="Times New Roman" w:cs="Times New Roman"/>
                <w:lang w:val="en-US"/>
              </w:rPr>
              <w:t>partea</w:t>
            </w:r>
            <w:proofErr w:type="spellEnd"/>
            <w:r w:rsidRPr="00F7637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7637B">
              <w:rPr>
                <w:rFonts w:ascii="Times New Roman" w:eastAsia="Times New Roman" w:hAnsi="Times New Roman" w:cs="Times New Roman"/>
                <w:lang w:val="en-US"/>
              </w:rPr>
              <w:t>solicitanților</w:t>
            </w:r>
            <w:proofErr w:type="spellEnd"/>
            <w:r w:rsidRPr="00F7637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7637B">
              <w:rPr>
                <w:rFonts w:ascii="Times New Roman" w:eastAsia="Times New Roman" w:hAnsi="Times New Roman" w:cs="Times New Roman"/>
                <w:lang w:val="en-US"/>
              </w:rPr>
              <w:t>este</w:t>
            </w:r>
            <w:proofErr w:type="spellEnd"/>
            <w:r w:rsidRPr="00F7637B">
              <w:rPr>
                <w:rFonts w:ascii="Times New Roman" w:eastAsia="Times New Roman" w:hAnsi="Times New Roman" w:cs="Times New Roman"/>
                <w:lang w:val="en-US"/>
              </w:rPr>
              <w:t xml:space="preserve"> de minim 40%.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F3792" w14:textId="77777777" w:rsidR="00BF1C45" w:rsidRPr="00622E70" w:rsidRDefault="00F7637B" w:rsidP="00622E7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763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24 </w:t>
            </w:r>
            <w:proofErr w:type="spellStart"/>
            <w:r w:rsidRPr="00F763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aprilie</w:t>
            </w:r>
            <w:proofErr w:type="spellEnd"/>
            <w:r w:rsidRPr="00F763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 </w:t>
            </w:r>
            <w:proofErr w:type="spellStart"/>
            <w:r w:rsidRPr="00F763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F763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23 </w:t>
            </w:r>
            <w:proofErr w:type="spellStart"/>
            <w:r w:rsidRPr="00F763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septembrie</w:t>
            </w:r>
            <w:proofErr w:type="spellEnd"/>
            <w:r w:rsidRPr="00F763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2025 – 17:00 CET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1A33C17F" w14:textId="77777777" w:rsidR="00BF1C45" w:rsidRDefault="00F7637B" w:rsidP="00C36063">
            <w:pPr>
              <w:autoSpaceDE w:val="0"/>
              <w:spacing w:after="0" w:line="240" w:lineRule="auto"/>
            </w:pPr>
            <w:hyperlink r:id="rId22" w:history="1">
              <w:r w:rsidRPr="00DE2D31">
                <w:rPr>
                  <w:rStyle w:val="Hyperlink"/>
                </w:rPr>
                <w:t>https://www.fonduri-structurale.ro/finantari/1843/finantare-pentru-guvernanta-de-mediu-proiecte-de-actiune-standard</w:t>
              </w:r>
            </w:hyperlink>
          </w:p>
          <w:p w14:paraId="4E92D65D" w14:textId="77777777" w:rsidR="00F7637B" w:rsidRDefault="00F7637B" w:rsidP="00C36063">
            <w:pPr>
              <w:autoSpaceDE w:val="0"/>
              <w:spacing w:after="0" w:line="240" w:lineRule="auto"/>
            </w:pPr>
          </w:p>
        </w:tc>
      </w:tr>
      <w:tr w:rsidR="00D01C5D" w14:paraId="193D57CA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F206D" w14:textId="77777777" w:rsidR="00D01C5D" w:rsidRDefault="000A43EE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3E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Ministerul Investițiilor și Proiectelor Europene</w:t>
            </w:r>
          </w:p>
          <w:p w14:paraId="1ABBB8A9" w14:textId="77777777" w:rsidR="000A43EE" w:rsidRDefault="000A43EE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A7F4AD" w14:textId="77777777" w:rsidR="000A43EE" w:rsidRDefault="000A43EE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3EE">
              <w:rPr>
                <w:rFonts w:ascii="Times New Roman" w:hAnsi="Times New Roman" w:cs="Times New Roman"/>
                <w:b/>
                <w:sz w:val="18"/>
                <w:szCs w:val="18"/>
              </w:rPr>
              <w:t>Programul Incluziune și Demnitate Socială</w:t>
            </w:r>
          </w:p>
          <w:p w14:paraId="7C625D0C" w14:textId="77777777" w:rsidR="000A43EE" w:rsidRDefault="000A43EE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988B25" w14:textId="77777777" w:rsidR="000A43EE" w:rsidRPr="00AA2E15" w:rsidRDefault="000A43EE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3EE">
              <w:rPr>
                <w:rFonts w:ascii="Times New Roman" w:hAnsi="Times New Roman" w:cs="Times New Roman"/>
                <w:b/>
                <w:sz w:val="18"/>
                <w:szCs w:val="18"/>
              </w:rPr>
              <w:t>Sprijin pentru operațiunile selectate de Grupul de Acțiune Locală pentru mediul rural sau pentru orașele și municipiile cu o populație mai mică de 20.000 de locuitori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EF8F6" w14:textId="77777777" w:rsidR="00D01C5D" w:rsidRPr="00AA2E15" w:rsidRDefault="000A43EE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A43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de proiecte oferă granturi nerambursabile pentru sprijinirea copiilor vulnerabili și familiilor lor, facilitând accesul la educație și activități recreative.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1CC21" w14:textId="77777777" w:rsidR="000A43EE" w:rsidRDefault="000A43EE" w:rsidP="000A43E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Beneficiari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eligibili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:</w:t>
            </w:r>
          </w:p>
          <w:p w14:paraId="3D411B3B" w14:textId="77777777" w:rsidR="000A43EE" w:rsidRPr="000A43EE" w:rsidRDefault="000A43EE" w:rsidP="000A43E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Furnizori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privați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servicii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sociale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acreditați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condițiile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legii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; </w:t>
            </w:r>
          </w:p>
          <w:p w14:paraId="05BE690C" w14:textId="77777777" w:rsidR="000A43EE" w:rsidRPr="000A43EE" w:rsidRDefault="000A43EE" w:rsidP="000A43E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Autorități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locale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personalitate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juridică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aflate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coordonarea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subordonarea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acestora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;</w:t>
            </w:r>
          </w:p>
          <w:p w14:paraId="74D0B731" w14:textId="77777777" w:rsidR="000A43EE" w:rsidRPr="000A43EE" w:rsidRDefault="000A43EE" w:rsidP="000A43E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Furnizori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autorizați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formare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profesională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-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autorizați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conformitate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prevederile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Ordonanței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Guvernului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nr.129/2000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privind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formarea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profesionala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adulților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republicată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cu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modificările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completările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ulterioare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;</w:t>
            </w:r>
          </w:p>
          <w:p w14:paraId="0610B7BC" w14:textId="77777777" w:rsidR="000A43EE" w:rsidRPr="000A43EE" w:rsidRDefault="000A43EE" w:rsidP="000A43E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învățământ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acreditate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rețelei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școlare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Inspectoratul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Școlar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Județean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al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Municipiului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București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;</w:t>
            </w:r>
          </w:p>
          <w:p w14:paraId="4A654E2F" w14:textId="77777777" w:rsidR="000A43EE" w:rsidRPr="000A43EE" w:rsidRDefault="000A43EE" w:rsidP="000A43E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Centrul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Județean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Resurse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Asistență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Resurse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Educațională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;</w:t>
            </w:r>
          </w:p>
          <w:p w14:paraId="2B754554" w14:textId="77777777" w:rsidR="000A43EE" w:rsidRPr="000A43EE" w:rsidRDefault="000A43EE" w:rsidP="000A43E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Casa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Corpului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Didactic;</w:t>
            </w:r>
          </w:p>
          <w:p w14:paraId="4CF182B4" w14:textId="77777777" w:rsidR="000A43EE" w:rsidRPr="000A43EE" w:rsidRDefault="000A43EE" w:rsidP="000A43E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Organizațiile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private care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demonstrează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experiență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activități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educaționale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minim 12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luni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68300F67" w14:textId="77777777" w:rsidR="00D01C5D" w:rsidRPr="000A43EE" w:rsidRDefault="000A43EE" w:rsidP="000A43EE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Parteneri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eligibili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: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solicitanții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menționați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anterior.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BBE5C" w14:textId="77777777" w:rsidR="000A43EE" w:rsidRPr="000A43EE" w:rsidRDefault="000A43EE" w:rsidP="000A43EE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Activități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eligibile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:</w:t>
            </w:r>
          </w:p>
          <w:p w14:paraId="21527E08" w14:textId="77777777" w:rsidR="000A43EE" w:rsidRPr="000A43EE" w:rsidRDefault="000A43EE" w:rsidP="000A43EE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Activitatea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1</w:t>
            </w:r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: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Sprijin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vulnerabili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familiile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acestora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pe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bază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management de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caz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activitate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relevantă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obligatorie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)</w:t>
            </w:r>
          </w:p>
          <w:p w14:paraId="74B9ABA1" w14:textId="77777777" w:rsidR="000A43EE" w:rsidRPr="000A43EE" w:rsidRDefault="000A43EE" w:rsidP="000A43EE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sprijin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psiho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-social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material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adresat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direct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copiilor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(ex: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acoperirea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costurilor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transport,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rechizite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hrană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îmbrăcăminte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încălțăminte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activități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educative,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activități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prevenire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combatere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comportamentelor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negative etc.),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părinți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in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străinătate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orfani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ai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migranților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alte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situații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vulnerabilitate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atât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scoaterea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din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sărăcie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cât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prevenirea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abandonului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școlar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; </w:t>
            </w:r>
          </w:p>
          <w:p w14:paraId="11FA3E92" w14:textId="77777777" w:rsidR="00D01C5D" w:rsidRDefault="000A43EE" w:rsidP="000A43EE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-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sprijin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părinții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aparținătorii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copiilor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aflați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situație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vulnerabilitate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furnizarea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servicii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-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suport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(ex: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consiliere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psiho-socială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adresată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reprezentanților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copiilor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persoanelor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care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îngrijesc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părinți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străinătate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asistență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privind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delegarea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temporară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autorității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părintești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după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caz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program de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educație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parentală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),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dar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sprijin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material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mici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reparații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ale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locuințelor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copiilor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vulnerabili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necesare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asigurarea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unor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standarde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locuire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bază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483F1CEA" w14:textId="77777777" w:rsidR="00841BE4" w:rsidRDefault="00841BE4" w:rsidP="00841BE4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Activitatea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2: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Stimularea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participării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educație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acțiuni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care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vizează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unitatea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învățământ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itate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relevantă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obligatorie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)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măsuri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sprijin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vederea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participării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educație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tip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preșcolar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acordate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copiilor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din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gru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pul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țintă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;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implementarea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măsuri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sprijin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participarea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educație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preuniversitară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implementarea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rograme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școală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după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școală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;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furnizarea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măsuri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recuper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are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carențelor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educaționale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; 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ități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educație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non-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formală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;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complementar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măsurile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stimulare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participării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educație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se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poate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asigura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masă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caldă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din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grupul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țintă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3845077D" w14:textId="77777777" w:rsidR="00841BE4" w:rsidRPr="00841BE4" w:rsidRDefault="00841BE4" w:rsidP="00841BE4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Activitatea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3: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Măsuri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facilitare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accesului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copiilor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din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grupul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țintă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activități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recreative (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activitate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opțională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)</w:t>
            </w:r>
          </w:p>
          <w:p w14:paraId="4B3D0F04" w14:textId="77777777" w:rsidR="00841BE4" w:rsidRPr="00841BE4" w:rsidRDefault="00841BE4" w:rsidP="00841BE4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participarea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copiilor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din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grupul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țintă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excursii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vizite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tabere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(de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exemplu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: de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creație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sportive, diverse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tematici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); </w:t>
            </w:r>
          </w:p>
          <w:p w14:paraId="0075E6AC" w14:textId="77777777" w:rsidR="00841BE4" w:rsidRPr="00841BE4" w:rsidRDefault="00841BE4" w:rsidP="00841BE4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participarea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evenimente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culturale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educaționale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;</w:t>
            </w:r>
          </w:p>
          <w:p w14:paraId="461EFC45" w14:textId="77777777" w:rsidR="00841BE4" w:rsidRPr="00841BE4" w:rsidRDefault="00841BE4" w:rsidP="00841BE4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participarea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schimburi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;</w:t>
            </w:r>
          </w:p>
          <w:p w14:paraId="2DC0CE37" w14:textId="77777777" w:rsidR="00841BE4" w:rsidRPr="000A43EE" w:rsidRDefault="00841BE4" w:rsidP="00841BE4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alte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acțiuni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similare</w:t>
            </w:r>
            <w:proofErr w:type="spellEnd"/>
            <w:r w:rsidRPr="00841BE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EF8B" w14:textId="77777777" w:rsidR="00E05CAA" w:rsidRPr="00E05CAA" w:rsidRDefault="00E05CAA" w:rsidP="00E05CAA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valoarea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minimă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eligibilă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a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unui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proiect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poate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fi de 201.000,00 euro. </w:t>
            </w:r>
          </w:p>
          <w:p w14:paraId="09F97FFD" w14:textId="77777777" w:rsidR="00D01C5D" w:rsidRDefault="00E05CAA" w:rsidP="00E05CAA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valoarea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maximă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eligibilă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nu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poate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depăși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suma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totală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a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bugetului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alocat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.</w:t>
            </w:r>
          </w:p>
          <w:p w14:paraId="43AFD43E" w14:textId="77777777" w:rsidR="00E05CAA" w:rsidRPr="00E05CAA" w:rsidRDefault="00E05CAA" w:rsidP="00E05CAA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Bugetul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total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alocat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este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de 160.736.843 euro:</w:t>
            </w:r>
          </w:p>
          <w:p w14:paraId="4B6E255D" w14:textId="77777777" w:rsidR="00E05CAA" w:rsidRPr="00E05CAA" w:rsidRDefault="00E05CAA" w:rsidP="00E05CAA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</w:p>
          <w:p w14:paraId="5B9C4EA1" w14:textId="77777777" w:rsidR="00E05CAA" w:rsidRPr="00E05CAA" w:rsidRDefault="00E05CAA" w:rsidP="00E05CAA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Regiuni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mai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puțin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dezvoltate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: 154.736.843 euro;</w:t>
            </w:r>
          </w:p>
          <w:p w14:paraId="16815B45" w14:textId="77777777" w:rsidR="00E05CAA" w:rsidRPr="00F7637B" w:rsidRDefault="00E05CAA" w:rsidP="00E05CAA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Regiunea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dezvoltată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București</w:t>
            </w:r>
            <w:proofErr w:type="spellEnd"/>
            <w:r w:rsidRPr="00E05CAA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- Ilfov: 6.000.000 euro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7254D" w14:textId="77777777" w:rsidR="00E05CAA" w:rsidRPr="00E05CAA" w:rsidRDefault="00E05CAA" w:rsidP="00E05CA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Rata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minimă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cofinanțare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va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fi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stabilită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nivelul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fiecărui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solicitant/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partener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astfel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14:paraId="707F06DC" w14:textId="77777777" w:rsidR="00E05CAA" w:rsidRPr="00E05CAA" w:rsidRDefault="00E05CAA" w:rsidP="00E05CA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14:paraId="54372AEB" w14:textId="77777777" w:rsidR="00E05CAA" w:rsidRPr="00E05CAA" w:rsidRDefault="00E05CAA" w:rsidP="00E05CA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2%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instituții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finanţate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venituri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proprii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/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parţial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stat,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asigurărilor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sociale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fondurilor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speciale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Instituţii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finanţate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locale,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instituții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locale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finanțate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venituri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proprii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/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finanțate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parțial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locale.</w:t>
            </w:r>
          </w:p>
          <w:p w14:paraId="63766318" w14:textId="77777777" w:rsidR="00E05CAA" w:rsidRPr="00E05CAA" w:rsidRDefault="00E05CAA" w:rsidP="00E05CA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între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15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60%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ordonatorii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credite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ai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bugetului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stat,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bugetului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asigurărilor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sociale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şi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ai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bugetelor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fondurilor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speciale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şi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entităţile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aflate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subordine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coordonare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finanţate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acestora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.</w:t>
            </w:r>
          </w:p>
          <w:p w14:paraId="4FC474DF" w14:textId="77777777" w:rsidR="00E05CAA" w:rsidRPr="00E05CAA" w:rsidRDefault="00E05CAA" w:rsidP="00E05CA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0%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persoanele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juridice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drept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privat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fără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scop patrimonial.</w:t>
            </w:r>
          </w:p>
          <w:p w14:paraId="3EC47118" w14:textId="77777777" w:rsidR="00E05CAA" w:rsidRPr="00E05CAA" w:rsidRDefault="00E05CAA" w:rsidP="00E05CA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2%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instituţii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învăţământ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preuniversitar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/ superior private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acreditate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.</w:t>
            </w:r>
          </w:p>
          <w:p w14:paraId="113376A5" w14:textId="77777777" w:rsidR="00D01C5D" w:rsidRPr="00E05CAA" w:rsidRDefault="00E05CAA" w:rsidP="00E05CA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5%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persoanele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juridice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drept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privat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cu scop patrimonial.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B5202" w14:textId="77777777" w:rsidR="00D01C5D" w:rsidRPr="00F7637B" w:rsidRDefault="00E05CAA" w:rsidP="00622E7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informatic MySMIS2021 se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deschide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data de 30.06.2025,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ora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16.00,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până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data de 30.06.2028, </w:t>
            </w:r>
            <w:proofErr w:type="spellStart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ora</w:t>
            </w:r>
            <w:proofErr w:type="spellEnd"/>
            <w:r w:rsidRPr="00E05C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16.00.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10660E2A" w14:textId="77777777" w:rsidR="00D01C5D" w:rsidRDefault="007A48E1" w:rsidP="007A48E1">
            <w:pPr>
              <w:autoSpaceDE w:val="0"/>
              <w:spacing w:after="0" w:line="240" w:lineRule="auto"/>
            </w:pPr>
            <w:hyperlink r:id="rId23" w:history="1">
              <w:r w:rsidRPr="00256A7A">
                <w:rPr>
                  <w:rStyle w:val="Hyperlink"/>
                </w:rPr>
                <w:t>https://fonduri-structurale.ro/finantari/1805/sprijin-pentru-operatiunile-selectate-de-grupul-de-actiune-locala-pentru-mediul-rural-sau-pentru-orasele-si-municipiile-cu-o-populatie-mai-mica-de-20-000-de-locuitori</w:t>
              </w:r>
            </w:hyperlink>
          </w:p>
          <w:p w14:paraId="363A296A" w14:textId="77777777" w:rsidR="007A48E1" w:rsidRDefault="007A48E1" w:rsidP="007A48E1">
            <w:pPr>
              <w:autoSpaceDE w:val="0"/>
              <w:spacing w:after="0" w:line="240" w:lineRule="auto"/>
            </w:pPr>
          </w:p>
          <w:p w14:paraId="70539E46" w14:textId="77777777" w:rsidR="007A48E1" w:rsidRDefault="007A48E1" w:rsidP="00C36063">
            <w:pPr>
              <w:autoSpaceDE w:val="0"/>
              <w:spacing w:after="0" w:line="240" w:lineRule="auto"/>
            </w:pPr>
          </w:p>
          <w:p w14:paraId="52EBCA4E" w14:textId="77777777" w:rsidR="00E05CAA" w:rsidRDefault="00E05CAA" w:rsidP="00C36063">
            <w:pPr>
              <w:autoSpaceDE w:val="0"/>
              <w:spacing w:after="0" w:line="240" w:lineRule="auto"/>
            </w:pPr>
          </w:p>
          <w:p w14:paraId="3ABCFB50" w14:textId="77777777" w:rsidR="00E05CAA" w:rsidRDefault="00E05CAA" w:rsidP="00C36063">
            <w:pPr>
              <w:autoSpaceDE w:val="0"/>
              <w:spacing w:after="0" w:line="240" w:lineRule="auto"/>
            </w:pPr>
          </w:p>
          <w:p w14:paraId="7F01F1E4" w14:textId="77777777" w:rsidR="00E05CAA" w:rsidRDefault="00E05CAA" w:rsidP="00C36063">
            <w:pPr>
              <w:autoSpaceDE w:val="0"/>
              <w:spacing w:after="0" w:line="240" w:lineRule="auto"/>
            </w:pPr>
          </w:p>
          <w:p w14:paraId="08A9C320" w14:textId="77777777" w:rsidR="00E05CAA" w:rsidRDefault="00E05CAA" w:rsidP="00C36063">
            <w:pPr>
              <w:autoSpaceDE w:val="0"/>
              <w:spacing w:after="0" w:line="240" w:lineRule="auto"/>
            </w:pPr>
          </w:p>
          <w:p w14:paraId="73AF4983" w14:textId="77777777" w:rsidR="00E05CAA" w:rsidRDefault="00E05CAA" w:rsidP="00C36063">
            <w:pPr>
              <w:autoSpaceDE w:val="0"/>
              <w:spacing w:after="0" w:line="240" w:lineRule="auto"/>
            </w:pPr>
          </w:p>
          <w:p w14:paraId="26A40AD9" w14:textId="77777777" w:rsidR="00E05CAA" w:rsidRDefault="00E05CAA" w:rsidP="00C36063">
            <w:pPr>
              <w:autoSpaceDE w:val="0"/>
              <w:spacing w:after="0" w:line="240" w:lineRule="auto"/>
            </w:pPr>
          </w:p>
          <w:p w14:paraId="7E40DBCE" w14:textId="77777777" w:rsidR="00E05CAA" w:rsidRDefault="00E05CAA" w:rsidP="00C36063">
            <w:pPr>
              <w:autoSpaceDE w:val="0"/>
              <w:spacing w:after="0" w:line="240" w:lineRule="auto"/>
            </w:pPr>
          </w:p>
        </w:tc>
      </w:tr>
      <w:tr w:rsidR="00E05CAA" w14:paraId="38D364C7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D8DDD" w14:textId="77777777" w:rsidR="00E05CAA" w:rsidRDefault="00D93B10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3B1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Ministerul Investițiilor și Proiectelor Europene</w:t>
            </w:r>
          </w:p>
          <w:p w14:paraId="5D183AF0" w14:textId="77777777" w:rsidR="00D93B10" w:rsidRDefault="00D93B10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9F95C" w14:textId="77777777" w:rsidR="00D93B10" w:rsidRPr="000A43EE" w:rsidRDefault="00D93B10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3B10">
              <w:rPr>
                <w:rFonts w:ascii="Times New Roman" w:hAnsi="Times New Roman" w:cs="Times New Roman"/>
                <w:b/>
                <w:sz w:val="18"/>
                <w:szCs w:val="18"/>
              </w:rPr>
              <w:t>Programul Național de Investiții în Infrastructura Unităților Spitalicești - relansare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FEEAC" w14:textId="77777777" w:rsidR="00E05CAA" w:rsidRPr="000A43EE" w:rsidRDefault="00D93B10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93B1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de proiecte vizează finanțarea unităților sanitare pentru construcții, modernizări și dotări, inclusiv digitalizare și tranziție verde.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43BCA" w14:textId="77777777" w:rsidR="00D93B10" w:rsidRDefault="00D93B10" w:rsidP="00D93B1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Beneficiari</w:t>
            </w:r>
            <w:proofErr w:type="spellEnd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0A43EE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eligibili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:</w:t>
            </w:r>
          </w:p>
          <w:p w14:paraId="75267F3C" w14:textId="77777777" w:rsidR="00D93B10" w:rsidRPr="00D93B10" w:rsidRDefault="00D93B10" w:rsidP="00D93B1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Entități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prevăzute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art. 2 din OUG nr. 29/2024, cu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modificările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completările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ulterioare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respectiv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:</w:t>
            </w:r>
          </w:p>
          <w:p w14:paraId="60EC0C3E" w14:textId="77777777" w:rsidR="00D93B10" w:rsidRPr="00D93B10" w:rsidRDefault="00D93B10" w:rsidP="00D93B1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unităţile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administrativ-teritoriale</w:t>
            </w:r>
            <w:proofErr w:type="spellEnd"/>
          </w:p>
          <w:p w14:paraId="5A9E92A5" w14:textId="77777777" w:rsidR="00D93B10" w:rsidRPr="00D93B10" w:rsidRDefault="00D93B10" w:rsidP="00D93B1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unităţile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sanitare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: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spitale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orăşeneşti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municipale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municipale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urgenţă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şi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spitale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judeţene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judeţene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urgenţă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spitale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specialitate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spitale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clinice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şi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clinice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urgenţă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institute care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desfăşoară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activitate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medicală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spitalicească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şi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prespitalicească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aflate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coordonarea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autoritatea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subordonarea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Ministerului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Sănătăţii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şi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unităţile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sanitare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prevăzute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art. 4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alin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. (2) din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Legea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nr. 95/2006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privind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reforma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domeniul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sănătăţii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republicată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cu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modificările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şi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completările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ulterioare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;</w:t>
            </w:r>
          </w:p>
          <w:p w14:paraId="106CA1E8" w14:textId="77777777" w:rsidR="00E05CAA" w:rsidRPr="000A43EE" w:rsidRDefault="00D93B10" w:rsidP="00D93B1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parteneriat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între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autorităţile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instituţiile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locale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BEC37" w14:textId="77777777" w:rsidR="00D93B10" w:rsidRPr="00D93B10" w:rsidRDefault="00D93B10" w:rsidP="00D93B1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Sunt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eligibile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următoarele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investiții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:</w:t>
            </w:r>
          </w:p>
          <w:p w14:paraId="3CF1D6E4" w14:textId="77777777" w:rsidR="00D93B10" w:rsidRPr="00D93B10" w:rsidRDefault="00D93B10" w:rsidP="00D93B1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</w:p>
          <w:p w14:paraId="24CDCBA9" w14:textId="77777777" w:rsidR="00D93B10" w:rsidRPr="00D93B10" w:rsidRDefault="00D93B10" w:rsidP="00D93B1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realizarea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construcții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noi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extinderea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dotarea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acestora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;</w:t>
            </w:r>
          </w:p>
          <w:p w14:paraId="060ADC47" w14:textId="77777777" w:rsidR="00D93B10" w:rsidRPr="00D93B10" w:rsidRDefault="00D93B10" w:rsidP="00D93B1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lucrări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modernizare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reabilitare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construcții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existente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dotarea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acestora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;</w:t>
            </w:r>
          </w:p>
          <w:p w14:paraId="69B14703" w14:textId="77777777" w:rsidR="00D93B10" w:rsidRPr="00D93B10" w:rsidRDefault="00D93B10" w:rsidP="00D93B1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extindere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construcțiile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existente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inclusiv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lucrări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conectare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clădiri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existente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dotare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;</w:t>
            </w:r>
          </w:p>
          <w:p w14:paraId="50FE3945" w14:textId="77777777" w:rsidR="00D93B10" w:rsidRPr="00D93B10" w:rsidRDefault="00D93B10" w:rsidP="00D93B1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lucrări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dotări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digitalizare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tranziție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verde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.</w:t>
            </w:r>
          </w:p>
          <w:p w14:paraId="43E7FD95" w14:textId="77777777" w:rsidR="00D93B10" w:rsidRPr="00D93B10" w:rsidRDefault="00D93B10" w:rsidP="00D93B1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Tipuri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apeluri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:</w:t>
            </w:r>
          </w:p>
          <w:p w14:paraId="35F81E16" w14:textId="77777777" w:rsidR="00D93B10" w:rsidRPr="00D93B10" w:rsidRDefault="00D93B10" w:rsidP="00D93B1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</w:p>
          <w:p w14:paraId="0AA70D7C" w14:textId="77777777" w:rsidR="00D93B10" w:rsidRPr="00D93B10" w:rsidRDefault="00D93B10" w:rsidP="00D93B1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Tip B: cu termen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limită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depunere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pentru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unități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sanitare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finanțate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proiecte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derulate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Programul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Operațional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Infrastructură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Mare 2014-2020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Programul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Operațional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Regional 2014-2020, care au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fost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declarate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nefuncționale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/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nefinalizate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data de 31.12.2023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care nu sunt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etapizate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programele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aferente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perioadei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programare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2021-2027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finanțate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PNRR.</w:t>
            </w:r>
          </w:p>
          <w:p w14:paraId="45BCF935" w14:textId="77777777" w:rsidR="00E05CAA" w:rsidRPr="000A43EE" w:rsidRDefault="00D93B10" w:rsidP="00D93B1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Tip C: cu termen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limită</w:t>
            </w:r>
            <w:proofErr w:type="spellEnd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depunere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131B4" w14:textId="77777777" w:rsidR="00D93B10" w:rsidRPr="00D93B10" w:rsidRDefault="00D93B10" w:rsidP="00D93B10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D93B1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Bugetul</w:t>
            </w:r>
            <w:proofErr w:type="spellEnd"/>
            <w:r w:rsidRPr="00D93B1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total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alocat</w:t>
            </w:r>
            <w:proofErr w:type="spellEnd"/>
            <w:r w:rsidRPr="00D93B1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este</w:t>
            </w:r>
            <w:proofErr w:type="spellEnd"/>
            <w:r w:rsidRPr="00D93B1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repartizat</w:t>
            </w:r>
            <w:proofErr w:type="spellEnd"/>
            <w:r w:rsidRPr="00D93B1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D93B1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astfel</w:t>
            </w:r>
            <w:proofErr w:type="spellEnd"/>
            <w:r w:rsidRPr="00D93B1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:</w:t>
            </w:r>
          </w:p>
          <w:p w14:paraId="11CCC339" w14:textId="77777777" w:rsidR="00D93B10" w:rsidRPr="00D93B10" w:rsidRDefault="00D93B10" w:rsidP="00D93B10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</w:p>
          <w:p w14:paraId="776A2CDB" w14:textId="77777777" w:rsidR="00D93B10" w:rsidRPr="00D93B10" w:rsidRDefault="00D93B10" w:rsidP="00D93B10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r w:rsidRPr="00D93B1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Tip B - 375.000 mii lei;</w:t>
            </w:r>
          </w:p>
          <w:p w14:paraId="3F47D4E1" w14:textId="77777777" w:rsidR="00E05CAA" w:rsidRPr="00E05CAA" w:rsidRDefault="00D93B10" w:rsidP="00D93B10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r w:rsidRPr="00D93B10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Tip C - 3.250.000 mii lei.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E9760" w14:textId="77777777" w:rsidR="00E05CAA" w:rsidRPr="00E05CAA" w:rsidRDefault="00D93B10" w:rsidP="00E05CA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D93B1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Procentul</w:t>
            </w:r>
            <w:proofErr w:type="spellEnd"/>
            <w:r w:rsidRPr="00D93B1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D93B1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cofinanțare</w:t>
            </w:r>
            <w:proofErr w:type="spellEnd"/>
            <w:r w:rsidRPr="00D93B1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D93B1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partea</w:t>
            </w:r>
            <w:proofErr w:type="spellEnd"/>
            <w:r w:rsidRPr="00D93B1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3B1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solicitanților</w:t>
            </w:r>
            <w:proofErr w:type="spellEnd"/>
            <w:r w:rsidRPr="00D93B1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3B1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este</w:t>
            </w:r>
            <w:proofErr w:type="spellEnd"/>
            <w:r w:rsidRPr="00D93B1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0%.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21D55" w14:textId="77777777" w:rsidR="00D93B10" w:rsidRPr="00222C9F" w:rsidRDefault="00D93B10" w:rsidP="00222C9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2C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proiectel</w:t>
            </w:r>
            <w:r w:rsidR="00222C9F" w:rsidRPr="00222C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proofErr w:type="spellEnd"/>
            <w:r w:rsidRPr="00222C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TIP B 31.07.2025, </w:t>
            </w:r>
            <w:proofErr w:type="spellStart"/>
            <w:r w:rsidRPr="00222C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222C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16.00.</w:t>
            </w:r>
          </w:p>
          <w:p w14:paraId="7CEC2F73" w14:textId="77777777" w:rsidR="00E05CAA" w:rsidRPr="00E05CAA" w:rsidRDefault="00D93B10" w:rsidP="00222C9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2C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proiectel</w:t>
            </w:r>
            <w:r w:rsidR="00222C9F" w:rsidRPr="00222C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proofErr w:type="spellEnd"/>
            <w:r w:rsidRPr="00222C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TIP C 31.12.2025, </w:t>
            </w:r>
            <w:proofErr w:type="spellStart"/>
            <w:r w:rsidRPr="00222C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222C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16.00.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0BE54C5C" w14:textId="77777777" w:rsidR="00E05CAA" w:rsidRDefault="00222C9F" w:rsidP="00C36063">
            <w:pPr>
              <w:autoSpaceDE w:val="0"/>
              <w:spacing w:after="0" w:line="240" w:lineRule="auto"/>
            </w:pPr>
            <w:hyperlink r:id="rId24" w:history="1">
              <w:r w:rsidRPr="00256A7A">
                <w:rPr>
                  <w:rStyle w:val="Hyperlink"/>
                </w:rPr>
                <w:t>https://www.fonduri-structurale.ro/finantari/1880/programul-national-de-investitii-in-infrastructura-unitatilor-spitalicesti-relansare</w:t>
              </w:r>
            </w:hyperlink>
          </w:p>
          <w:p w14:paraId="76AF2961" w14:textId="77777777" w:rsidR="00222C9F" w:rsidRPr="00E05CAA" w:rsidRDefault="00222C9F" w:rsidP="00C36063">
            <w:pPr>
              <w:autoSpaceDE w:val="0"/>
              <w:spacing w:after="0" w:line="240" w:lineRule="auto"/>
            </w:pPr>
          </w:p>
        </w:tc>
      </w:tr>
      <w:tr w:rsidR="00222C9F" w14:paraId="7540FE31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DE78F" w14:textId="77777777" w:rsidR="00222C9F" w:rsidRDefault="00222C9F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2C9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Ministerul Investițiilor și Proiectelor Europene</w:t>
            </w:r>
          </w:p>
          <w:p w14:paraId="16391472" w14:textId="77777777" w:rsidR="00222C9F" w:rsidRDefault="00222C9F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D2156F" w14:textId="77777777" w:rsidR="00222C9F" w:rsidRDefault="00222C9F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2C9F">
              <w:rPr>
                <w:rFonts w:ascii="Times New Roman" w:hAnsi="Times New Roman" w:cs="Times New Roman"/>
                <w:b/>
                <w:sz w:val="18"/>
                <w:szCs w:val="18"/>
              </w:rPr>
              <w:t>Programul Sănătate</w:t>
            </w:r>
          </w:p>
          <w:p w14:paraId="648D09C1" w14:textId="77777777" w:rsidR="002F1AD4" w:rsidRDefault="002F1AD4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BC276E" w14:textId="77777777" w:rsidR="00222C9F" w:rsidRPr="00D93B10" w:rsidRDefault="002F1AD4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AD4">
              <w:rPr>
                <w:rFonts w:ascii="Times New Roman" w:hAnsi="Times New Roman" w:cs="Times New Roman"/>
                <w:b/>
                <w:sz w:val="18"/>
                <w:szCs w:val="18"/>
              </w:rPr>
              <w:t>Investiții de tip dotare în infrastructura unităților sanitare publice care tratează pacienți cardiaci critici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1532A" w14:textId="77777777" w:rsidR="00222C9F" w:rsidRPr="00D93B10" w:rsidRDefault="002F1AD4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F1AD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de proiecte vizează dotarea unităților sanitare publice pentru pacienți critici cardiaci în regiunile mai puțin dezvoltate, sprijinind investiții în echipamente medicale.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078E8" w14:textId="77777777" w:rsidR="002F1AD4" w:rsidRPr="002F1AD4" w:rsidRDefault="002F1AD4" w:rsidP="002F1AD4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Unități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sanitare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tratează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pacienți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critici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cardiaci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; </w:t>
            </w:r>
          </w:p>
          <w:p w14:paraId="73CB1F7D" w14:textId="77777777" w:rsidR="002F1AD4" w:rsidRPr="002F1AD4" w:rsidRDefault="002F1AD4" w:rsidP="002F1AD4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Unitățile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administrativ-teritoriale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astfel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cum sunt definite la art. 5 lit. pp) din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Ordonanța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urgență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Guvernului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nr. 57/2019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privind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Codul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administrativ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cu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modificările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completările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ulterioare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care au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coordonare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subordonare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dețin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proprietate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unitățile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la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punctul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1; </w:t>
            </w:r>
          </w:p>
          <w:p w14:paraId="5283FBFD" w14:textId="77777777" w:rsidR="002F1AD4" w:rsidRPr="002F1AD4" w:rsidRDefault="002F1AD4" w:rsidP="002F1AD4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Unitățile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administrativ-teritoriale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astfel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cum sunt definite la art. 5 lit. pp) din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Ordonanța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urgență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Guvernului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nr. 57/2019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privind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Codul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administrativ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cu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modificările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completările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ulterioare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care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administrează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drept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pune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dispoziția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parteneriatului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terenuri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şi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clădiri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vederea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realizării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proiectului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; </w:t>
            </w:r>
          </w:p>
          <w:p w14:paraId="2C67033C" w14:textId="77777777" w:rsidR="002F1AD4" w:rsidRPr="002F1AD4" w:rsidRDefault="002F1AD4" w:rsidP="002F1AD4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Ministerul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Sănătății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alte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autorități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instituții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centrale care au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coordonare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subordonare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dețin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proprietate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unitățile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la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punctul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1.</w:t>
            </w:r>
          </w:p>
          <w:p w14:paraId="06F3E4F9" w14:textId="77777777" w:rsidR="00222C9F" w:rsidRPr="000A43EE" w:rsidRDefault="002F1AD4" w:rsidP="002F1AD4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Parteneri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eligibili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pot fi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toți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solicitanții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menționați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anterior.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3E592" w14:textId="77777777" w:rsidR="002F1AD4" w:rsidRPr="002F1AD4" w:rsidRDefault="002F1AD4" w:rsidP="002F1AD4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Activitate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bază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reprezintă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activitatea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activitățile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prin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care se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asigură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realizarea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investițiilor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de tip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dotare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a USTACC-urile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existente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sau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care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vor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fi create, din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cadrul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unităților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sanitare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publice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care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tratează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pacienți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critici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cardiaci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.</w:t>
            </w:r>
          </w:p>
          <w:p w14:paraId="0BAAE5F6" w14:textId="77777777" w:rsidR="002F1AD4" w:rsidRPr="002F1AD4" w:rsidRDefault="002F1AD4" w:rsidP="002F1AD4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</w:pPr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Este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recomandat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ca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unitatea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sanitară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publică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sprijinită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: </w:t>
            </w:r>
          </w:p>
          <w:p w14:paraId="3644D2A1" w14:textId="77777777" w:rsidR="002F1AD4" w:rsidRPr="002F1AD4" w:rsidRDefault="002F1AD4" w:rsidP="002F1AD4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63"/>
              </w:tabs>
              <w:suppressAutoHyphens w:val="0"/>
              <w:spacing w:before="100" w:beforeAutospacing="1" w:after="100" w:afterAutospacing="1" w:line="240" w:lineRule="auto"/>
              <w:ind w:left="363" w:hanging="49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dețină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un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sistem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IT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centralizat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care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permite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transferul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de date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medicale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la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standardul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minim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interoperabilitate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HL7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sau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similar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sau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dovedească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că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implementat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un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astfel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sistem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/ 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finanțarea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asigurată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pentru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implementarea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unui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astfel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sistem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la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nivelul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unității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sanitare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sprijinite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,</w:t>
            </w:r>
          </w:p>
          <w:p w14:paraId="0951302D" w14:textId="77777777" w:rsidR="002F1AD4" w:rsidRPr="002F1AD4" w:rsidRDefault="002F1AD4" w:rsidP="002F1AD4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63"/>
              </w:tabs>
              <w:suppressAutoHyphens w:val="0"/>
              <w:spacing w:before="100" w:beforeAutospacing="1" w:after="100" w:afterAutospacing="1" w:line="240" w:lineRule="auto"/>
              <w:ind w:left="363" w:hanging="49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en-US" w:bidi="he-IL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utilizeze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sau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implementeze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o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soluție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software/hardware care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să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permită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diagnosticarea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/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tratamentul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pacienților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critici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cardiaci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  <w:t>.</w:t>
            </w:r>
          </w:p>
          <w:p w14:paraId="0AB1DEFB" w14:textId="77777777" w:rsidR="00222C9F" w:rsidRPr="00D93B10" w:rsidRDefault="00222C9F" w:rsidP="00D93B10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3F23D" w14:textId="77777777" w:rsidR="002F1AD4" w:rsidRPr="002F1AD4" w:rsidRDefault="002F1AD4" w:rsidP="002F1AD4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Valoare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eligibilă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minimă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: 200.001 euro;</w:t>
            </w:r>
          </w:p>
          <w:p w14:paraId="4C30EAB2" w14:textId="77777777" w:rsidR="00222C9F" w:rsidRPr="00D93B10" w:rsidRDefault="002F1AD4" w:rsidP="002F1AD4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Valoare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eligibilă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maximă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: 1.044.487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9505" w14:textId="77777777" w:rsidR="002F1AD4" w:rsidRDefault="002F1AD4" w:rsidP="002F1A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</w:t>
            </w:r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ntitățile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finanțate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parțial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fonduri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14:paraId="5D6998F0" w14:textId="77777777" w:rsidR="002F1AD4" w:rsidRPr="002F1AD4" w:rsidRDefault="002F1AD4" w:rsidP="002F1A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14:paraId="371D0AE7" w14:textId="77777777" w:rsidR="002F1AD4" w:rsidRDefault="002F1AD4" w:rsidP="002F1A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Instituții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finanţate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venituri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proprii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/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parțial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stat,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asigurărilor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sociale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fondurilor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speciale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Instituții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finanţate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locale,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instituții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locale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finanțate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venituri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proprii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/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finanțate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parțial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locale – 2%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aplicată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valoarea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eligibilă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pe care o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gestionează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cadrul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proiectului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; </w:t>
            </w:r>
          </w:p>
          <w:p w14:paraId="7037FFFB" w14:textId="77777777" w:rsidR="002F1AD4" w:rsidRPr="002F1AD4" w:rsidRDefault="002F1AD4" w:rsidP="002F1A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14:paraId="2F6425A3" w14:textId="77777777" w:rsidR="00222C9F" w:rsidRPr="00D93B10" w:rsidRDefault="002F1AD4" w:rsidP="002F1A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Ordonatori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credite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ai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bugetului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stat,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bugetului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asigurărilor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sociale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şi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ai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bugetelor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fondurilor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speciale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entitățile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aflate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subordine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coordonare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finanţate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acestora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- 15%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aplicată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valoarea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eligibilă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pe care o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gestionează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cadrul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proiectulu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4B5F5" w14:textId="77777777" w:rsidR="00222C9F" w:rsidRPr="00222C9F" w:rsidRDefault="002F1AD4" w:rsidP="00222C9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F1A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31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iulie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2025,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17:00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3FC54661" w14:textId="77777777" w:rsidR="00222C9F" w:rsidRDefault="002F1AD4" w:rsidP="00C36063">
            <w:pPr>
              <w:autoSpaceDE w:val="0"/>
              <w:spacing w:after="0" w:line="240" w:lineRule="auto"/>
            </w:pPr>
            <w:hyperlink r:id="rId25" w:history="1">
              <w:r w:rsidRPr="00256A7A">
                <w:rPr>
                  <w:rStyle w:val="Hyperlink"/>
                </w:rPr>
                <w:t>https://www.fonduri-structurale.ro/finantari/1815/investitii-de-tip-dotare-in-infrastructura-unitatilor-sanitare-publice-care-trateaza-pacienti-cardiaci-critici</w:t>
              </w:r>
            </w:hyperlink>
          </w:p>
          <w:p w14:paraId="0E29D0EE" w14:textId="77777777" w:rsidR="002F1AD4" w:rsidRDefault="002F1AD4" w:rsidP="00C36063">
            <w:pPr>
              <w:autoSpaceDE w:val="0"/>
              <w:spacing w:after="0" w:line="240" w:lineRule="auto"/>
            </w:pPr>
          </w:p>
        </w:tc>
      </w:tr>
      <w:tr w:rsidR="002F1AD4" w14:paraId="3A4836AE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4A5CB" w14:textId="77777777" w:rsidR="002F1AD4" w:rsidRDefault="002F1AD4" w:rsidP="002F1A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2C9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Ministerul Investițiilor și Proiectelor Europene</w:t>
            </w:r>
          </w:p>
          <w:p w14:paraId="053950AA" w14:textId="77777777" w:rsidR="002F1AD4" w:rsidRDefault="002F1AD4" w:rsidP="002F1A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83D2A" w14:textId="77777777" w:rsidR="002F1AD4" w:rsidRDefault="002F1AD4" w:rsidP="002F1A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2C9F">
              <w:rPr>
                <w:rFonts w:ascii="Times New Roman" w:hAnsi="Times New Roman" w:cs="Times New Roman"/>
                <w:b/>
                <w:sz w:val="18"/>
                <w:szCs w:val="18"/>
              </w:rPr>
              <w:t>Programul Sănătate</w:t>
            </w:r>
          </w:p>
          <w:p w14:paraId="3CAF1899" w14:textId="77777777" w:rsidR="002F1AD4" w:rsidRDefault="002F1AD4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4F8319" w14:textId="77777777" w:rsidR="002F1AD4" w:rsidRPr="00222C9F" w:rsidRDefault="002F1AD4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A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Investiții în infrastructura publică a unităților sanitare care tratează pacienți critici - </w:t>
            </w:r>
            <w:proofErr w:type="spellStart"/>
            <w:r w:rsidRPr="002F1AD4">
              <w:rPr>
                <w:rFonts w:ascii="Times New Roman" w:hAnsi="Times New Roman" w:cs="Times New Roman"/>
                <w:b/>
                <w:sz w:val="18"/>
                <w:szCs w:val="18"/>
              </w:rPr>
              <w:t>politraumă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51493" w14:textId="77777777" w:rsidR="002F1AD4" w:rsidRPr="002F1AD4" w:rsidRDefault="002F1AD4" w:rsidP="00853AE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F1AD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Apelul de proiecte se axează pe finanțarea investițiilor în infrastructura publică a unităților sanitare care tratează pacienți critici, prin granturi nerambursabile.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3119C" w14:textId="77777777" w:rsidR="002F1AD4" w:rsidRPr="002F1AD4" w:rsidRDefault="002F1AD4" w:rsidP="002F1AD4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a)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Unităţi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sanitare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urgență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; </w:t>
            </w:r>
          </w:p>
          <w:p w14:paraId="1D576F15" w14:textId="77777777" w:rsidR="002F1AD4" w:rsidRPr="002F1AD4" w:rsidRDefault="002F1AD4" w:rsidP="00F741D6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b)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Unitățile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administrativ-teritoriale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astfel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cum sunt definite la art. 5 lit. pp) din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Ordonanța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urgență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Guvernului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nr. 57/2019, care au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coordonare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subordonare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dețin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proprietate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unitățile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la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punctul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a); </w:t>
            </w:r>
          </w:p>
          <w:p w14:paraId="3E4D3133" w14:textId="77777777" w:rsidR="002F1AD4" w:rsidRPr="002F1AD4" w:rsidRDefault="002F1AD4" w:rsidP="002F1AD4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c)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Subdiviziunile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administrativ-teritoriale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ale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municipiilor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-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sectoarele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municipiului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București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alte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subdiviziuni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ale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municipiilor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ale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căror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delimitare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organizare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se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stabilesc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lege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, care au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coordonare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subordonare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dețin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proprietate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unitățile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la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punctul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a); </w:t>
            </w:r>
          </w:p>
          <w:p w14:paraId="326550B0" w14:textId="77777777" w:rsidR="002F1AD4" w:rsidRPr="002F1AD4" w:rsidRDefault="002F1AD4" w:rsidP="00F741D6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d)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Unitățile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administrativ-teritoriale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astfel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cum sunt definite la art. 5 lit. pp) din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Ordonanța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urgență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Guvernului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nr. 57/2019, care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administrează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drept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pune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dispoziția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parteneriatului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terenuri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şi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clădiri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vederea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realizării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proiectului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; </w:t>
            </w:r>
          </w:p>
          <w:p w14:paraId="73D53DA3" w14:textId="77777777" w:rsidR="002F1AD4" w:rsidRPr="002F1AD4" w:rsidRDefault="002F1AD4" w:rsidP="002F1AD4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e)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Subdiviziunile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administrativ-teritoriale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ale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municipiilor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-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sectoarele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municipiului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București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alte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subdiviziuni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ale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municipiilor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, care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administrează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drept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pune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la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dispoziția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parteneriatului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terenuri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şi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clădiri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vederea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realizării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proiectului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; </w:t>
            </w:r>
          </w:p>
          <w:p w14:paraId="56AA7DEA" w14:textId="77777777" w:rsidR="002F1AD4" w:rsidRPr="002F1AD4" w:rsidRDefault="002F1AD4" w:rsidP="002F1AD4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f)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Primăria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Municipiului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București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); </w:t>
            </w:r>
          </w:p>
          <w:p w14:paraId="65AD62D5" w14:textId="77777777" w:rsidR="002F1AD4" w:rsidRPr="002F1AD4" w:rsidRDefault="002F1AD4" w:rsidP="00F741D6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g)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Ministerul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Sănătății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alte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autorități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instituții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publice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centrale care au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coordonare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subordonare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autoritate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sau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dețin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administrare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proprietate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unitățile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la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punctul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a);</w:t>
            </w:r>
          </w:p>
          <w:p w14:paraId="47B563A3" w14:textId="77777777" w:rsidR="002F1AD4" w:rsidRPr="002F1AD4" w:rsidRDefault="002F1AD4" w:rsidP="00F741D6">
            <w:pPr>
              <w:shd w:val="clear" w:color="auto" w:fill="FFFFFF"/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</w:pPr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h)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Parteneriate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între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entitățile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de la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>punctele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b/>
                <w:color w:val="333333"/>
                <w:sz w:val="14"/>
                <w:szCs w:val="14"/>
                <w:lang w:val="en-US" w:eastAsia="en-US" w:bidi="he-IL"/>
              </w:rPr>
              <w:t xml:space="preserve"> a)-g).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C5163" w14:textId="77777777" w:rsidR="002F1AD4" w:rsidRPr="002F1AD4" w:rsidRDefault="002F1AD4" w:rsidP="002F1AD4">
            <w:pPr>
              <w:numPr>
                <w:ilvl w:val="0"/>
                <w:numId w:val="30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Investiții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tipul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extindere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modernizare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reabilitare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dotare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(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dacă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cazul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): </w:t>
            </w:r>
          </w:p>
          <w:p w14:paraId="178B0F65" w14:textId="77777777" w:rsidR="002F1AD4" w:rsidRPr="002F1AD4" w:rsidRDefault="002F1AD4" w:rsidP="002F1AD4">
            <w:pPr>
              <w:numPr>
                <w:ilvl w:val="1"/>
                <w:numId w:val="30"/>
              </w:numPr>
              <w:shd w:val="clear" w:color="auto" w:fill="FFFFFF"/>
              <w:tabs>
                <w:tab w:val="clear" w:pos="1221"/>
                <w:tab w:val="num" w:pos="505"/>
              </w:tabs>
              <w:suppressAutoHyphens w:val="0"/>
              <w:spacing w:before="100" w:beforeAutospacing="1" w:after="100" w:afterAutospacing="1" w:line="240" w:lineRule="auto"/>
              <w:ind w:left="647" w:hanging="284"/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În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infrastructura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unităților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sanitare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care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tratează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pacienți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critici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-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politraumă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respectiv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structurilor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acestora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care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furnizează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servicii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îngrijire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pacienți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critici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(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compartiment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unitate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primiri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urgențe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(CPU/UPU),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structuri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imagistică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medicală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laboratoare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analize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medicale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blocuri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operatorii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secție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compartiment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Anestezie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Terapie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Intensivă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(ATI),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inclusiv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stațiile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oxigen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care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deservesc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aceste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structuri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); </w:t>
            </w:r>
          </w:p>
          <w:p w14:paraId="4CDA53A8" w14:textId="77777777" w:rsidR="002F1AD4" w:rsidRPr="002F1AD4" w:rsidRDefault="002F1AD4" w:rsidP="002F1AD4">
            <w:pPr>
              <w:numPr>
                <w:ilvl w:val="1"/>
                <w:numId w:val="30"/>
              </w:numPr>
              <w:shd w:val="clear" w:color="auto" w:fill="FFFFFF"/>
              <w:tabs>
                <w:tab w:val="clear" w:pos="1221"/>
                <w:tab w:val="num" w:pos="505"/>
              </w:tabs>
              <w:suppressAutoHyphens w:val="0"/>
              <w:spacing w:before="100" w:beforeAutospacing="1" w:after="100" w:afterAutospacing="1" w:line="240" w:lineRule="auto"/>
              <w:ind w:left="647" w:hanging="284"/>
              <w:rPr>
                <w:rFonts w:ascii="Open Sans" w:eastAsia="Times New Roman" w:hAnsi="Open Sans" w:cs="Open Sans"/>
                <w:sz w:val="24"/>
                <w:szCs w:val="24"/>
                <w:lang w:val="en-US" w:eastAsia="en-US" w:bidi="he-IL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Dotarea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cu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echipamente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are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scopul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de 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crește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gradul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accesibilitate</w:t>
            </w:r>
            <w:proofErr w:type="spellEnd"/>
            <w:r w:rsidRPr="002F1AD4">
              <w:rPr>
                <w:rFonts w:ascii="Open Sans" w:eastAsia="Times New Roman" w:hAnsi="Open Sans" w:cs="Open Sans"/>
                <w:sz w:val="24"/>
                <w:szCs w:val="24"/>
                <w:lang w:val="en-US" w:eastAsia="en-US" w:bidi="he-IL"/>
              </w:rPr>
              <w:t xml:space="preserve"> </w:t>
            </w:r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populației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la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serviciile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sănătate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de 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îmbunătăți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calitatea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serviciilor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sănătate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prestate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–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obiecte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de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inventar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/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mijloace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fixe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necesare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desfășurării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activității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medicale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echipamente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medicale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,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inclusiv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laboratoare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echipamente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sisteme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IT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pentru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digitalizarea</w:t>
            </w:r>
            <w:proofErr w:type="spellEnd"/>
            <w:r w:rsidRPr="002F1AD4">
              <w:rPr>
                <w:rFonts w:ascii="Open Sans" w:eastAsia="Times New Roman" w:hAnsi="Open Sans" w:cs="Open Sans"/>
                <w:sz w:val="24"/>
                <w:szCs w:val="24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activităților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unității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sanitare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publice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, precum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și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a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celor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aferente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activităților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suport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pentru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derularea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activității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medicale</w:t>
            </w:r>
            <w:proofErr w:type="spellEnd"/>
            <w:r w:rsidRPr="002F1AD4">
              <w:rPr>
                <w:rFonts w:asciiTheme="majorBidi" w:eastAsia="Times New Roman" w:hAnsiTheme="majorBidi" w:cstheme="majorBidi"/>
                <w:sz w:val="20"/>
                <w:szCs w:val="20"/>
                <w:lang w:val="en-US" w:eastAsia="en-US" w:bidi="he-IL"/>
              </w:rPr>
              <w:t>.</w:t>
            </w:r>
          </w:p>
          <w:p w14:paraId="6EC8362F" w14:textId="77777777" w:rsidR="002F1AD4" w:rsidRPr="002F1AD4" w:rsidRDefault="002F1AD4" w:rsidP="002F1AD4">
            <w:pPr>
              <w:shd w:val="clear" w:color="auto" w:fill="FFFFFF"/>
              <w:suppressAutoHyphens w:val="0"/>
              <w:spacing w:after="15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en-US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A755" w14:textId="77777777" w:rsidR="002F1AD4" w:rsidRPr="002F1AD4" w:rsidRDefault="002F1AD4" w:rsidP="002F1AD4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Valoarea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minimă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eligibilă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: 200.001 euro;</w:t>
            </w:r>
          </w:p>
          <w:p w14:paraId="7FC71DE6" w14:textId="77777777" w:rsidR="002F1AD4" w:rsidRPr="002F1AD4" w:rsidRDefault="002F1AD4" w:rsidP="002F1AD4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</w:p>
          <w:p w14:paraId="14D2FF56" w14:textId="77777777" w:rsidR="002F1AD4" w:rsidRPr="002F1AD4" w:rsidRDefault="002F1AD4" w:rsidP="002F1AD4">
            <w:pPr>
              <w:shd w:val="clear" w:color="auto" w:fill="FFFFFF"/>
              <w:suppressAutoHyphens w:val="0"/>
              <w:spacing w:after="120" w:line="240" w:lineRule="auto"/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</w:pPr>
            <w:proofErr w:type="spellStart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Valoarea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maximă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 xml:space="preserve"> </w:t>
            </w:r>
            <w:proofErr w:type="spellStart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eligibilă</w:t>
            </w:r>
            <w:proofErr w:type="spellEnd"/>
            <w:r w:rsidRPr="002F1AD4">
              <w:rPr>
                <w:rFonts w:asciiTheme="majorBidi" w:eastAsia="Times New Roman" w:hAnsiTheme="majorBidi" w:cstheme="majorBidi"/>
                <w:color w:val="333333"/>
                <w:lang w:val="en-US" w:eastAsia="en-US"/>
              </w:rPr>
              <w:t>: 5.348.194,28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A469A" w14:textId="77777777" w:rsidR="002F1AD4" w:rsidRDefault="002F1AD4" w:rsidP="002F1A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</w:t>
            </w:r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ntitățile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finanțate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parțial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din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fonduri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14:paraId="22938346" w14:textId="77777777" w:rsidR="002F1AD4" w:rsidRPr="002F1AD4" w:rsidRDefault="002F1AD4" w:rsidP="002F1A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14:paraId="101FDBB1" w14:textId="77777777" w:rsidR="002F1AD4" w:rsidRDefault="002F1AD4" w:rsidP="002F1A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Instituții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finanţate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venituri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proprii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/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parțial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stat,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asigurărilor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sociale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fondurilor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speciale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Instituții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finanţate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locale,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instituții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locale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finanțate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venituri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proprii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/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finanțate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parțial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locale – 2%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aplicată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valoarea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eligibilă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pe care o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gestionează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cadrul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proiectului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; </w:t>
            </w:r>
          </w:p>
          <w:p w14:paraId="313BBED0" w14:textId="77777777" w:rsidR="002F1AD4" w:rsidRPr="002F1AD4" w:rsidRDefault="002F1AD4" w:rsidP="002F1A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14:paraId="5C13FD2A" w14:textId="77777777" w:rsidR="002F1AD4" w:rsidRDefault="002F1AD4" w:rsidP="002F1A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Ordonatori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credite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ai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bugetului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stat,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bugetului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asigurărilor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sociale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 stat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şi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ai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bugetelor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fondurilor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speciale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entitățile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aflate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subordine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coordonare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finanţate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integral din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bugetele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acestora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- 15%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aplicată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valoarea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eligibilă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pe care o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gestionează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cadrul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proiectulu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18AA" w14:textId="77777777" w:rsidR="002F1AD4" w:rsidRPr="002F1AD4" w:rsidRDefault="002F1AD4" w:rsidP="00222C9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F1A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31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iulie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2025, </w:t>
            </w:r>
            <w:proofErr w:type="spellStart"/>
            <w:r w:rsidRPr="002F1A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2F1A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17:00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1A92F486" w14:textId="77777777" w:rsidR="002F1AD4" w:rsidRDefault="002F1AD4" w:rsidP="00C36063">
            <w:pPr>
              <w:autoSpaceDE w:val="0"/>
              <w:spacing w:after="0" w:line="240" w:lineRule="auto"/>
            </w:pPr>
            <w:hyperlink r:id="rId26" w:history="1">
              <w:r w:rsidRPr="00256A7A">
                <w:rPr>
                  <w:rStyle w:val="Hyperlink"/>
                </w:rPr>
                <w:t>https://www.fonduri-structurale.ro/finantari/1228/investitii-in-infrastructura-publica-a-unitatilor-sanitare-care-trateaza-pacienti-critici-politrauma</w:t>
              </w:r>
            </w:hyperlink>
          </w:p>
          <w:p w14:paraId="12BB6617" w14:textId="77777777" w:rsidR="002F1AD4" w:rsidRDefault="002F1AD4" w:rsidP="00C36063">
            <w:pPr>
              <w:autoSpaceDE w:val="0"/>
              <w:spacing w:after="0" w:line="240" w:lineRule="auto"/>
            </w:pPr>
          </w:p>
        </w:tc>
      </w:tr>
    </w:tbl>
    <w:p w14:paraId="7F667F22" w14:textId="77777777" w:rsidR="00EC49D6" w:rsidRDefault="00EC49D6" w:rsidP="00F746E3"/>
    <w:sectPr w:rsidR="00EC49D6" w:rsidSect="007B3C58">
      <w:headerReference w:type="default" r:id="rId27"/>
      <w:footerReference w:type="default" r:id="rId28"/>
      <w:headerReference w:type="first" r:id="rId29"/>
      <w:footerReference w:type="first" r:id="rId30"/>
      <w:pgSz w:w="16838" w:h="11906" w:orient="landscape"/>
      <w:pgMar w:top="1702" w:right="1417" w:bottom="426" w:left="1417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4793" w14:textId="77777777" w:rsidR="003377FF" w:rsidRDefault="003377FF">
      <w:pPr>
        <w:spacing w:after="0" w:line="240" w:lineRule="auto"/>
      </w:pPr>
      <w:r>
        <w:separator/>
      </w:r>
    </w:p>
  </w:endnote>
  <w:endnote w:type="continuationSeparator" w:id="0">
    <w:p w14:paraId="105B1689" w14:textId="77777777" w:rsidR="003377FF" w:rsidRDefault="0033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OpenSymbol">
    <w:altName w:val="Arial Unicode MS"/>
    <w:charset w:val="02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758F" w14:textId="77777777" w:rsidR="007A48E1" w:rsidRDefault="007A48E1">
    <w:pPr>
      <w:pStyle w:val="Subsol"/>
      <w:jc w:val="center"/>
      <w:rPr>
        <w:rFonts w:ascii="Arial" w:hAnsi="Arial" w:cs="Arial"/>
        <w:sz w:val="20"/>
        <w:szCs w:val="20"/>
      </w:rPr>
    </w:pPr>
  </w:p>
  <w:p w14:paraId="1F52C14C" w14:textId="77777777" w:rsidR="007A48E1" w:rsidRDefault="007A48E1">
    <w:pPr>
      <w:pStyle w:val="Subsol"/>
      <w:jc w:val="center"/>
      <w:rPr>
        <w:rFonts w:ascii="Arial" w:hAnsi="Arial" w:cs="Arial"/>
        <w:sz w:val="20"/>
        <w:szCs w:val="20"/>
      </w:rPr>
    </w:pPr>
  </w:p>
  <w:p w14:paraId="44CE4BFD" w14:textId="77777777" w:rsidR="007A48E1" w:rsidRDefault="007A48E1">
    <w:pPr>
      <w:pStyle w:val="Subsol"/>
      <w:jc w:val="center"/>
    </w:pPr>
    <w:r>
      <w:rPr>
        <w:rFonts w:ascii="Arial" w:hAnsi="Arial" w:cs="Arial"/>
        <w:sz w:val="20"/>
        <w:szCs w:val="20"/>
      </w:rPr>
      <w:tab/>
      <w:t>P-</w:t>
    </w:r>
    <w:proofErr w:type="spellStart"/>
    <w:r>
      <w:rPr>
        <w:rFonts w:ascii="Arial" w:hAnsi="Arial" w:cs="Arial"/>
        <w:sz w:val="20"/>
        <w:szCs w:val="20"/>
      </w:rPr>
      <w:t>ţa</w:t>
    </w:r>
    <w:proofErr w:type="spellEnd"/>
    <w:r>
      <w:rPr>
        <w:rFonts w:ascii="Arial" w:hAnsi="Arial" w:cs="Arial"/>
        <w:sz w:val="20"/>
        <w:szCs w:val="20"/>
      </w:rPr>
      <w:t xml:space="preserve"> 25 Octombrie, nr.1, 440026 - Satu Mare</w:t>
    </w:r>
  </w:p>
  <w:p w14:paraId="3945F869" w14:textId="77777777" w:rsidR="007A48E1" w:rsidRDefault="007A48E1">
    <w:pPr>
      <w:pStyle w:val="Subsol"/>
      <w:jc w:val="center"/>
    </w:pPr>
    <w:r>
      <w:rPr>
        <w:rFonts w:ascii="Arial" w:eastAsia="Arial" w:hAnsi="Arial" w:cs="Arial"/>
        <w:sz w:val="17"/>
        <w:szCs w:val="17"/>
      </w:rPr>
      <w:t xml:space="preserve">                                                                    </w:t>
    </w:r>
    <w:r>
      <w:rPr>
        <w:rFonts w:ascii="Arial" w:hAnsi="Arial" w:cs="Arial"/>
        <w:sz w:val="17"/>
        <w:szCs w:val="17"/>
      </w:rPr>
      <w:t xml:space="preserve">Tel.: +40 742 921 114 • E-mail: adijudetsm@yahoo.com • Web: www. adijudetulsatumare.ro                                                                              </w:t>
    </w:r>
    <w:r>
      <w:rPr>
        <w:rFonts w:cs="Arial"/>
        <w:sz w:val="17"/>
        <w:szCs w:val="17"/>
      </w:rPr>
      <w:fldChar w:fldCharType="begin"/>
    </w:r>
    <w:r>
      <w:rPr>
        <w:rFonts w:cs="Arial"/>
        <w:sz w:val="17"/>
        <w:szCs w:val="17"/>
      </w:rPr>
      <w:instrText xml:space="preserve"> PAGE </w:instrText>
    </w:r>
    <w:r>
      <w:rPr>
        <w:rFonts w:cs="Arial"/>
        <w:sz w:val="17"/>
        <w:szCs w:val="17"/>
      </w:rPr>
      <w:fldChar w:fldCharType="separate"/>
    </w:r>
    <w:r w:rsidR="000E5B21">
      <w:rPr>
        <w:rFonts w:cs="Arial"/>
        <w:noProof/>
        <w:sz w:val="17"/>
        <w:szCs w:val="17"/>
      </w:rPr>
      <w:t>20</w:t>
    </w:r>
    <w:r>
      <w:rPr>
        <w:rFonts w:cs="Arial"/>
        <w:sz w:val="17"/>
        <w:szCs w:val="17"/>
      </w:rPr>
      <w:fldChar w:fldCharType="end"/>
    </w:r>
  </w:p>
  <w:p w14:paraId="4C57A345" w14:textId="77777777" w:rsidR="007A48E1" w:rsidRDefault="007A48E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6FAA" w14:textId="77777777" w:rsidR="007A48E1" w:rsidRDefault="007A48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1647" w14:textId="77777777" w:rsidR="003377FF" w:rsidRDefault="003377FF">
      <w:pPr>
        <w:spacing w:after="0" w:line="240" w:lineRule="auto"/>
      </w:pPr>
      <w:r>
        <w:separator/>
      </w:r>
    </w:p>
  </w:footnote>
  <w:footnote w:type="continuationSeparator" w:id="0">
    <w:p w14:paraId="4FA69093" w14:textId="77777777" w:rsidR="003377FF" w:rsidRDefault="0033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9832" w14:textId="77777777" w:rsidR="007A48E1" w:rsidRDefault="007A48E1">
    <w:pPr>
      <w:pStyle w:val="Antet"/>
      <w:rPr>
        <w:szCs w:val="20"/>
        <w:lang w:val="en-US" w:eastAsia="en-US"/>
      </w:rPr>
    </w:pPr>
    <w:r>
      <w:rPr>
        <w:noProof/>
        <w:lang w:val="en-US" w:eastAsia="en-US" w:bidi="he-IL"/>
      </w:rPr>
      <w:drawing>
        <wp:anchor distT="0" distB="0" distL="114935" distR="114935" simplePos="0" relativeHeight="251657728" behindDoc="0" locked="0" layoutInCell="1" allowOverlap="1" wp14:anchorId="18109F14" wp14:editId="50B372D2">
          <wp:simplePos x="0" y="0"/>
          <wp:positionH relativeFrom="page">
            <wp:posOffset>47625</wp:posOffset>
          </wp:positionH>
          <wp:positionV relativeFrom="page">
            <wp:posOffset>76200</wp:posOffset>
          </wp:positionV>
          <wp:extent cx="10509885" cy="1165860"/>
          <wp:effectExtent l="1905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143" r="-21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10509885" cy="11658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0D5F" w14:textId="77777777" w:rsidR="007A48E1" w:rsidRDefault="007A48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62060F"/>
    <w:multiLevelType w:val="multilevel"/>
    <w:tmpl w:val="5494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80D09"/>
    <w:multiLevelType w:val="hybridMultilevel"/>
    <w:tmpl w:val="7E6A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1489"/>
    <w:multiLevelType w:val="multilevel"/>
    <w:tmpl w:val="E034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2011D"/>
    <w:multiLevelType w:val="multilevel"/>
    <w:tmpl w:val="C1C0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06AA2"/>
    <w:multiLevelType w:val="hybridMultilevel"/>
    <w:tmpl w:val="33128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43FE4"/>
    <w:multiLevelType w:val="multilevel"/>
    <w:tmpl w:val="7C5C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93086"/>
    <w:multiLevelType w:val="hybridMultilevel"/>
    <w:tmpl w:val="5556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3FAC"/>
    <w:multiLevelType w:val="multilevel"/>
    <w:tmpl w:val="E458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14450"/>
    <w:multiLevelType w:val="multilevel"/>
    <w:tmpl w:val="D576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7213C"/>
    <w:multiLevelType w:val="hybridMultilevel"/>
    <w:tmpl w:val="76AC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50CA7"/>
    <w:multiLevelType w:val="multilevel"/>
    <w:tmpl w:val="46AC956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46C11"/>
    <w:multiLevelType w:val="multilevel"/>
    <w:tmpl w:val="34A4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F16B8"/>
    <w:multiLevelType w:val="hybridMultilevel"/>
    <w:tmpl w:val="D7C2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30275"/>
    <w:multiLevelType w:val="multilevel"/>
    <w:tmpl w:val="DB60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334AF"/>
    <w:multiLevelType w:val="hybridMultilevel"/>
    <w:tmpl w:val="B4E8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F4168"/>
    <w:multiLevelType w:val="multilevel"/>
    <w:tmpl w:val="01BA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2172D4"/>
    <w:multiLevelType w:val="hybridMultilevel"/>
    <w:tmpl w:val="22BE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F6CE1"/>
    <w:multiLevelType w:val="multilevel"/>
    <w:tmpl w:val="8422B66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A31E8A"/>
    <w:multiLevelType w:val="hybridMultilevel"/>
    <w:tmpl w:val="9890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07779"/>
    <w:multiLevelType w:val="multilevel"/>
    <w:tmpl w:val="4C86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780A82"/>
    <w:multiLevelType w:val="hybridMultilevel"/>
    <w:tmpl w:val="B8925AD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2" w15:restartNumberingAfterBreak="0">
    <w:nsid w:val="5A925A25"/>
    <w:multiLevelType w:val="hybridMultilevel"/>
    <w:tmpl w:val="F4E8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778F7"/>
    <w:multiLevelType w:val="hybridMultilevel"/>
    <w:tmpl w:val="0132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B52C6"/>
    <w:multiLevelType w:val="multilevel"/>
    <w:tmpl w:val="885E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1B1635"/>
    <w:multiLevelType w:val="multilevel"/>
    <w:tmpl w:val="5E5A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8461D"/>
    <w:multiLevelType w:val="hybridMultilevel"/>
    <w:tmpl w:val="2282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06B85"/>
    <w:multiLevelType w:val="multilevel"/>
    <w:tmpl w:val="5D42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356F1D"/>
    <w:multiLevelType w:val="multilevel"/>
    <w:tmpl w:val="D172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112CA4"/>
    <w:multiLevelType w:val="multilevel"/>
    <w:tmpl w:val="95B2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342254">
    <w:abstractNumId w:val="0"/>
  </w:num>
  <w:num w:numId="2" w16cid:durableId="526724334">
    <w:abstractNumId w:val="5"/>
  </w:num>
  <w:num w:numId="3" w16cid:durableId="976910857">
    <w:abstractNumId w:val="7"/>
  </w:num>
  <w:num w:numId="4" w16cid:durableId="1829981042">
    <w:abstractNumId w:val="23"/>
  </w:num>
  <w:num w:numId="5" w16cid:durableId="142083307">
    <w:abstractNumId w:val="26"/>
  </w:num>
  <w:num w:numId="6" w16cid:durableId="1545099464">
    <w:abstractNumId w:val="21"/>
  </w:num>
  <w:num w:numId="7" w16cid:durableId="1093090971">
    <w:abstractNumId w:val="17"/>
  </w:num>
  <w:num w:numId="8" w16cid:durableId="641543273">
    <w:abstractNumId w:val="13"/>
  </w:num>
  <w:num w:numId="9" w16cid:durableId="362169986">
    <w:abstractNumId w:val="19"/>
  </w:num>
  <w:num w:numId="10" w16cid:durableId="450055536">
    <w:abstractNumId w:val="16"/>
  </w:num>
  <w:num w:numId="11" w16cid:durableId="110364764">
    <w:abstractNumId w:val="24"/>
  </w:num>
  <w:num w:numId="12" w16cid:durableId="1465613699">
    <w:abstractNumId w:val="8"/>
  </w:num>
  <w:num w:numId="13" w16cid:durableId="1103502173">
    <w:abstractNumId w:val="2"/>
  </w:num>
  <w:num w:numId="14" w16cid:durableId="68354518">
    <w:abstractNumId w:val="1"/>
  </w:num>
  <w:num w:numId="15" w16cid:durableId="1852453606">
    <w:abstractNumId w:val="6"/>
  </w:num>
  <w:num w:numId="16" w16cid:durableId="305597957">
    <w:abstractNumId w:val="14"/>
  </w:num>
  <w:num w:numId="17" w16cid:durableId="1206134430">
    <w:abstractNumId w:val="11"/>
  </w:num>
  <w:num w:numId="18" w16cid:durableId="1602639983">
    <w:abstractNumId w:val="29"/>
  </w:num>
  <w:num w:numId="19" w16cid:durableId="1930837">
    <w:abstractNumId w:val="20"/>
  </w:num>
  <w:num w:numId="20" w16cid:durableId="2002661196">
    <w:abstractNumId w:val="4"/>
  </w:num>
  <w:num w:numId="21" w16cid:durableId="177892433">
    <w:abstractNumId w:val="27"/>
  </w:num>
  <w:num w:numId="22" w16cid:durableId="2070613277">
    <w:abstractNumId w:val="3"/>
  </w:num>
  <w:num w:numId="23" w16cid:durableId="763693607">
    <w:abstractNumId w:val="12"/>
  </w:num>
  <w:num w:numId="24" w16cid:durableId="1452624155">
    <w:abstractNumId w:val="10"/>
  </w:num>
  <w:num w:numId="25" w16cid:durableId="1905676847">
    <w:abstractNumId w:val="22"/>
  </w:num>
  <w:num w:numId="26" w16cid:durableId="600457116">
    <w:abstractNumId w:val="25"/>
  </w:num>
  <w:num w:numId="27" w16cid:durableId="2041122087">
    <w:abstractNumId w:val="15"/>
  </w:num>
  <w:num w:numId="28" w16cid:durableId="1386876361">
    <w:abstractNumId w:val="28"/>
  </w:num>
  <w:num w:numId="29" w16cid:durableId="1160341298">
    <w:abstractNumId w:val="9"/>
  </w:num>
  <w:num w:numId="30" w16cid:durableId="1265080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9DC"/>
    <w:rsid w:val="00012581"/>
    <w:rsid w:val="00015B43"/>
    <w:rsid w:val="00022DB6"/>
    <w:rsid w:val="00033818"/>
    <w:rsid w:val="0003589B"/>
    <w:rsid w:val="00037B02"/>
    <w:rsid w:val="00040C93"/>
    <w:rsid w:val="0004127E"/>
    <w:rsid w:val="00046350"/>
    <w:rsid w:val="000553DC"/>
    <w:rsid w:val="00055655"/>
    <w:rsid w:val="0005738B"/>
    <w:rsid w:val="00060D1D"/>
    <w:rsid w:val="000613B6"/>
    <w:rsid w:val="000738DE"/>
    <w:rsid w:val="00077435"/>
    <w:rsid w:val="000905C0"/>
    <w:rsid w:val="00092CAA"/>
    <w:rsid w:val="0009341E"/>
    <w:rsid w:val="000964B4"/>
    <w:rsid w:val="0009787E"/>
    <w:rsid w:val="00097F50"/>
    <w:rsid w:val="000A43EE"/>
    <w:rsid w:val="000A5530"/>
    <w:rsid w:val="000B06D4"/>
    <w:rsid w:val="000B17BF"/>
    <w:rsid w:val="000B1E35"/>
    <w:rsid w:val="000B2F2E"/>
    <w:rsid w:val="000C072F"/>
    <w:rsid w:val="000C0AA2"/>
    <w:rsid w:val="000C2C89"/>
    <w:rsid w:val="000C48E8"/>
    <w:rsid w:val="000C5944"/>
    <w:rsid w:val="000C6232"/>
    <w:rsid w:val="000D156B"/>
    <w:rsid w:val="000D680C"/>
    <w:rsid w:val="000D6B8D"/>
    <w:rsid w:val="000D7A33"/>
    <w:rsid w:val="000E3C01"/>
    <w:rsid w:val="000E4F1B"/>
    <w:rsid w:val="000E5B21"/>
    <w:rsid w:val="000F0E69"/>
    <w:rsid w:val="000F105D"/>
    <w:rsid w:val="000F20C0"/>
    <w:rsid w:val="000F39C6"/>
    <w:rsid w:val="000F5D02"/>
    <w:rsid w:val="00100066"/>
    <w:rsid w:val="00102156"/>
    <w:rsid w:val="00103A9B"/>
    <w:rsid w:val="00103B38"/>
    <w:rsid w:val="00103F76"/>
    <w:rsid w:val="00112EA9"/>
    <w:rsid w:val="00116B16"/>
    <w:rsid w:val="00121542"/>
    <w:rsid w:val="00126EBF"/>
    <w:rsid w:val="00133BAC"/>
    <w:rsid w:val="0013434D"/>
    <w:rsid w:val="0014556E"/>
    <w:rsid w:val="00150244"/>
    <w:rsid w:val="00151834"/>
    <w:rsid w:val="00154427"/>
    <w:rsid w:val="001559C4"/>
    <w:rsid w:val="001622B3"/>
    <w:rsid w:val="00163D5B"/>
    <w:rsid w:val="00164255"/>
    <w:rsid w:val="001751C1"/>
    <w:rsid w:val="00175820"/>
    <w:rsid w:val="00175C00"/>
    <w:rsid w:val="001764C6"/>
    <w:rsid w:val="00182D6A"/>
    <w:rsid w:val="0018507E"/>
    <w:rsid w:val="0018616B"/>
    <w:rsid w:val="00187252"/>
    <w:rsid w:val="00191631"/>
    <w:rsid w:val="00193D51"/>
    <w:rsid w:val="00194BED"/>
    <w:rsid w:val="00194D64"/>
    <w:rsid w:val="001959C6"/>
    <w:rsid w:val="001967BB"/>
    <w:rsid w:val="00197030"/>
    <w:rsid w:val="001B42DA"/>
    <w:rsid w:val="001C5575"/>
    <w:rsid w:val="001D0F85"/>
    <w:rsid w:val="001D2533"/>
    <w:rsid w:val="001D47DE"/>
    <w:rsid w:val="001E1815"/>
    <w:rsid w:val="001E477D"/>
    <w:rsid w:val="001F1D34"/>
    <w:rsid w:val="001F2B97"/>
    <w:rsid w:val="00203D96"/>
    <w:rsid w:val="00222C9F"/>
    <w:rsid w:val="00226300"/>
    <w:rsid w:val="0023129D"/>
    <w:rsid w:val="0023185D"/>
    <w:rsid w:val="00252215"/>
    <w:rsid w:val="00257DB3"/>
    <w:rsid w:val="002702B1"/>
    <w:rsid w:val="00270F19"/>
    <w:rsid w:val="0027623A"/>
    <w:rsid w:val="00280F32"/>
    <w:rsid w:val="00293673"/>
    <w:rsid w:val="002A5D9B"/>
    <w:rsid w:val="002A5E12"/>
    <w:rsid w:val="002A5F60"/>
    <w:rsid w:val="002C6049"/>
    <w:rsid w:val="002C62BF"/>
    <w:rsid w:val="002D42D3"/>
    <w:rsid w:val="002D5205"/>
    <w:rsid w:val="002F1AD4"/>
    <w:rsid w:val="002F4F07"/>
    <w:rsid w:val="003072C1"/>
    <w:rsid w:val="003118F4"/>
    <w:rsid w:val="00317E59"/>
    <w:rsid w:val="00322148"/>
    <w:rsid w:val="003225BE"/>
    <w:rsid w:val="003225F6"/>
    <w:rsid w:val="00322824"/>
    <w:rsid w:val="00323671"/>
    <w:rsid w:val="0032560E"/>
    <w:rsid w:val="00334178"/>
    <w:rsid w:val="0033596B"/>
    <w:rsid w:val="003377FF"/>
    <w:rsid w:val="00341156"/>
    <w:rsid w:val="003440A9"/>
    <w:rsid w:val="003441B5"/>
    <w:rsid w:val="003511C7"/>
    <w:rsid w:val="00356298"/>
    <w:rsid w:val="00356E48"/>
    <w:rsid w:val="00357CE3"/>
    <w:rsid w:val="00364EBC"/>
    <w:rsid w:val="0036526B"/>
    <w:rsid w:val="003664BD"/>
    <w:rsid w:val="003674B3"/>
    <w:rsid w:val="00370F68"/>
    <w:rsid w:val="00373EAF"/>
    <w:rsid w:val="00384659"/>
    <w:rsid w:val="00394056"/>
    <w:rsid w:val="003B10FB"/>
    <w:rsid w:val="003B1F91"/>
    <w:rsid w:val="003B33B0"/>
    <w:rsid w:val="003C46D2"/>
    <w:rsid w:val="003D0F1C"/>
    <w:rsid w:val="003D61C6"/>
    <w:rsid w:val="003E24A1"/>
    <w:rsid w:val="003E347B"/>
    <w:rsid w:val="003E4071"/>
    <w:rsid w:val="003E4B67"/>
    <w:rsid w:val="003E79A0"/>
    <w:rsid w:val="003F4FF1"/>
    <w:rsid w:val="003F750E"/>
    <w:rsid w:val="00400894"/>
    <w:rsid w:val="0040092B"/>
    <w:rsid w:val="00400C5C"/>
    <w:rsid w:val="004013B3"/>
    <w:rsid w:val="00412E5B"/>
    <w:rsid w:val="00414D8B"/>
    <w:rsid w:val="004150B7"/>
    <w:rsid w:val="00415441"/>
    <w:rsid w:val="0041689B"/>
    <w:rsid w:val="004173F6"/>
    <w:rsid w:val="00425E22"/>
    <w:rsid w:val="004277C6"/>
    <w:rsid w:val="004404EA"/>
    <w:rsid w:val="00442AE7"/>
    <w:rsid w:val="00442E63"/>
    <w:rsid w:val="004440E4"/>
    <w:rsid w:val="00444F49"/>
    <w:rsid w:val="0045294B"/>
    <w:rsid w:val="00460641"/>
    <w:rsid w:val="00467D9A"/>
    <w:rsid w:val="00470644"/>
    <w:rsid w:val="004721D0"/>
    <w:rsid w:val="00473166"/>
    <w:rsid w:val="0047438F"/>
    <w:rsid w:val="00481A35"/>
    <w:rsid w:val="00485E5D"/>
    <w:rsid w:val="004878F2"/>
    <w:rsid w:val="0049447C"/>
    <w:rsid w:val="004A6059"/>
    <w:rsid w:val="004B2B43"/>
    <w:rsid w:val="004B3F9D"/>
    <w:rsid w:val="004B4D59"/>
    <w:rsid w:val="004C5C7A"/>
    <w:rsid w:val="004D2583"/>
    <w:rsid w:val="004D4080"/>
    <w:rsid w:val="004D683D"/>
    <w:rsid w:val="004E5986"/>
    <w:rsid w:val="004F1186"/>
    <w:rsid w:val="004F1220"/>
    <w:rsid w:val="004F57B1"/>
    <w:rsid w:val="0050176C"/>
    <w:rsid w:val="00505D6B"/>
    <w:rsid w:val="0051025D"/>
    <w:rsid w:val="00513401"/>
    <w:rsid w:val="00515311"/>
    <w:rsid w:val="005264ED"/>
    <w:rsid w:val="00532F0C"/>
    <w:rsid w:val="0053482E"/>
    <w:rsid w:val="00535144"/>
    <w:rsid w:val="00542C19"/>
    <w:rsid w:val="00551431"/>
    <w:rsid w:val="00552CE0"/>
    <w:rsid w:val="00555EAF"/>
    <w:rsid w:val="00556690"/>
    <w:rsid w:val="00560B9C"/>
    <w:rsid w:val="00565105"/>
    <w:rsid w:val="00565412"/>
    <w:rsid w:val="00566618"/>
    <w:rsid w:val="00570C27"/>
    <w:rsid w:val="00573593"/>
    <w:rsid w:val="00574E9E"/>
    <w:rsid w:val="00577755"/>
    <w:rsid w:val="00583C23"/>
    <w:rsid w:val="00586621"/>
    <w:rsid w:val="005953D3"/>
    <w:rsid w:val="005A2622"/>
    <w:rsid w:val="005A359F"/>
    <w:rsid w:val="005A5C39"/>
    <w:rsid w:val="005A7381"/>
    <w:rsid w:val="005B2C40"/>
    <w:rsid w:val="005B6531"/>
    <w:rsid w:val="005C158B"/>
    <w:rsid w:val="005C39B0"/>
    <w:rsid w:val="005C55A1"/>
    <w:rsid w:val="005D5269"/>
    <w:rsid w:val="005D5FE4"/>
    <w:rsid w:val="005E1DE4"/>
    <w:rsid w:val="005F5F6C"/>
    <w:rsid w:val="005F6C02"/>
    <w:rsid w:val="00604D78"/>
    <w:rsid w:val="00605BE5"/>
    <w:rsid w:val="00606B13"/>
    <w:rsid w:val="00607369"/>
    <w:rsid w:val="00614216"/>
    <w:rsid w:val="00614B46"/>
    <w:rsid w:val="00615F84"/>
    <w:rsid w:val="00621936"/>
    <w:rsid w:val="00622E70"/>
    <w:rsid w:val="00635AB3"/>
    <w:rsid w:val="00642E6B"/>
    <w:rsid w:val="0064661F"/>
    <w:rsid w:val="00655ADF"/>
    <w:rsid w:val="00656E04"/>
    <w:rsid w:val="00665528"/>
    <w:rsid w:val="006664D1"/>
    <w:rsid w:val="00666700"/>
    <w:rsid w:val="006702C4"/>
    <w:rsid w:val="006706CC"/>
    <w:rsid w:val="00674C8A"/>
    <w:rsid w:val="006763DB"/>
    <w:rsid w:val="00677E6D"/>
    <w:rsid w:val="006823EC"/>
    <w:rsid w:val="00684EBC"/>
    <w:rsid w:val="00685675"/>
    <w:rsid w:val="006856C8"/>
    <w:rsid w:val="0068693C"/>
    <w:rsid w:val="00687F4D"/>
    <w:rsid w:val="00690BFC"/>
    <w:rsid w:val="006944B6"/>
    <w:rsid w:val="006960EF"/>
    <w:rsid w:val="006A1F2B"/>
    <w:rsid w:val="006B1925"/>
    <w:rsid w:val="006B20EF"/>
    <w:rsid w:val="006B60FB"/>
    <w:rsid w:val="006B7092"/>
    <w:rsid w:val="006C1C8B"/>
    <w:rsid w:val="006D40DE"/>
    <w:rsid w:val="006D7426"/>
    <w:rsid w:val="006E09DD"/>
    <w:rsid w:val="006E2EED"/>
    <w:rsid w:val="006E5253"/>
    <w:rsid w:val="006E5C5E"/>
    <w:rsid w:val="006E666C"/>
    <w:rsid w:val="006E68D0"/>
    <w:rsid w:val="006E7D0E"/>
    <w:rsid w:val="00700022"/>
    <w:rsid w:val="00700345"/>
    <w:rsid w:val="00701B60"/>
    <w:rsid w:val="00706913"/>
    <w:rsid w:val="0071577D"/>
    <w:rsid w:val="00731AE9"/>
    <w:rsid w:val="0073325D"/>
    <w:rsid w:val="00735812"/>
    <w:rsid w:val="00755DBB"/>
    <w:rsid w:val="00757780"/>
    <w:rsid w:val="0075781D"/>
    <w:rsid w:val="00762A48"/>
    <w:rsid w:val="0077147A"/>
    <w:rsid w:val="00773477"/>
    <w:rsid w:val="007744AA"/>
    <w:rsid w:val="007839A9"/>
    <w:rsid w:val="007906BD"/>
    <w:rsid w:val="00795942"/>
    <w:rsid w:val="00796433"/>
    <w:rsid w:val="007A0162"/>
    <w:rsid w:val="007A2EDF"/>
    <w:rsid w:val="007A48E1"/>
    <w:rsid w:val="007B1828"/>
    <w:rsid w:val="007B3C58"/>
    <w:rsid w:val="007B70A6"/>
    <w:rsid w:val="007C69C8"/>
    <w:rsid w:val="007D0603"/>
    <w:rsid w:val="007D354E"/>
    <w:rsid w:val="007D386E"/>
    <w:rsid w:val="007D5F18"/>
    <w:rsid w:val="007E4D79"/>
    <w:rsid w:val="007E6A6A"/>
    <w:rsid w:val="007F5122"/>
    <w:rsid w:val="00815182"/>
    <w:rsid w:val="00815A51"/>
    <w:rsid w:val="00817AA3"/>
    <w:rsid w:val="00822E74"/>
    <w:rsid w:val="00830DD7"/>
    <w:rsid w:val="00840481"/>
    <w:rsid w:val="008412CE"/>
    <w:rsid w:val="00841BE4"/>
    <w:rsid w:val="00853AEE"/>
    <w:rsid w:val="00857FF6"/>
    <w:rsid w:val="00862676"/>
    <w:rsid w:val="008717DB"/>
    <w:rsid w:val="00871A5A"/>
    <w:rsid w:val="00872B43"/>
    <w:rsid w:val="00877274"/>
    <w:rsid w:val="00877CC9"/>
    <w:rsid w:val="00884618"/>
    <w:rsid w:val="00887DC0"/>
    <w:rsid w:val="00890492"/>
    <w:rsid w:val="008910BC"/>
    <w:rsid w:val="0089413B"/>
    <w:rsid w:val="008A4E69"/>
    <w:rsid w:val="008B178F"/>
    <w:rsid w:val="008B2B18"/>
    <w:rsid w:val="008B3268"/>
    <w:rsid w:val="008B7274"/>
    <w:rsid w:val="008C0903"/>
    <w:rsid w:val="008C3AD5"/>
    <w:rsid w:val="008D5281"/>
    <w:rsid w:val="008D7D56"/>
    <w:rsid w:val="008E533D"/>
    <w:rsid w:val="008E5F69"/>
    <w:rsid w:val="008F101E"/>
    <w:rsid w:val="008F2BE3"/>
    <w:rsid w:val="008F36FA"/>
    <w:rsid w:val="008F551C"/>
    <w:rsid w:val="008F56DC"/>
    <w:rsid w:val="008F7B5C"/>
    <w:rsid w:val="009022EB"/>
    <w:rsid w:val="009037B8"/>
    <w:rsid w:val="0090531F"/>
    <w:rsid w:val="00907114"/>
    <w:rsid w:val="00910788"/>
    <w:rsid w:val="00913806"/>
    <w:rsid w:val="00914817"/>
    <w:rsid w:val="0092147D"/>
    <w:rsid w:val="009247D9"/>
    <w:rsid w:val="00931212"/>
    <w:rsid w:val="00932900"/>
    <w:rsid w:val="009358C8"/>
    <w:rsid w:val="00946A42"/>
    <w:rsid w:val="00946AC4"/>
    <w:rsid w:val="00946FE0"/>
    <w:rsid w:val="00952549"/>
    <w:rsid w:val="00952F7D"/>
    <w:rsid w:val="00955210"/>
    <w:rsid w:val="00971EB3"/>
    <w:rsid w:val="00973917"/>
    <w:rsid w:val="00986EC6"/>
    <w:rsid w:val="00991AC2"/>
    <w:rsid w:val="009A0066"/>
    <w:rsid w:val="009A3506"/>
    <w:rsid w:val="009A5955"/>
    <w:rsid w:val="009A68A1"/>
    <w:rsid w:val="009B1336"/>
    <w:rsid w:val="009B7FE1"/>
    <w:rsid w:val="009C0FB7"/>
    <w:rsid w:val="009E26AF"/>
    <w:rsid w:val="009E2808"/>
    <w:rsid w:val="009E51A3"/>
    <w:rsid w:val="009F25BE"/>
    <w:rsid w:val="009F3143"/>
    <w:rsid w:val="009F4885"/>
    <w:rsid w:val="00A05670"/>
    <w:rsid w:val="00A05A50"/>
    <w:rsid w:val="00A204E8"/>
    <w:rsid w:val="00A20B51"/>
    <w:rsid w:val="00A229E4"/>
    <w:rsid w:val="00A24395"/>
    <w:rsid w:val="00A27BF8"/>
    <w:rsid w:val="00A3397A"/>
    <w:rsid w:val="00A365BF"/>
    <w:rsid w:val="00A42A7F"/>
    <w:rsid w:val="00A43E2F"/>
    <w:rsid w:val="00A441C3"/>
    <w:rsid w:val="00A445D4"/>
    <w:rsid w:val="00A46219"/>
    <w:rsid w:val="00A47FC9"/>
    <w:rsid w:val="00A51C4D"/>
    <w:rsid w:val="00A51D70"/>
    <w:rsid w:val="00A54C96"/>
    <w:rsid w:val="00A55723"/>
    <w:rsid w:val="00A55DF8"/>
    <w:rsid w:val="00A57AFB"/>
    <w:rsid w:val="00A63C57"/>
    <w:rsid w:val="00A64FF4"/>
    <w:rsid w:val="00A751B4"/>
    <w:rsid w:val="00A83E65"/>
    <w:rsid w:val="00A853F1"/>
    <w:rsid w:val="00A8617A"/>
    <w:rsid w:val="00A86C00"/>
    <w:rsid w:val="00A92E93"/>
    <w:rsid w:val="00A967FF"/>
    <w:rsid w:val="00AA08F1"/>
    <w:rsid w:val="00AA2E15"/>
    <w:rsid w:val="00AA7E7F"/>
    <w:rsid w:val="00AB13BF"/>
    <w:rsid w:val="00AB59C3"/>
    <w:rsid w:val="00AB6ABA"/>
    <w:rsid w:val="00AB6EE3"/>
    <w:rsid w:val="00AB7381"/>
    <w:rsid w:val="00AC771F"/>
    <w:rsid w:val="00AF5C4A"/>
    <w:rsid w:val="00B075FA"/>
    <w:rsid w:val="00B10997"/>
    <w:rsid w:val="00B156FF"/>
    <w:rsid w:val="00B216CC"/>
    <w:rsid w:val="00B30446"/>
    <w:rsid w:val="00B32A51"/>
    <w:rsid w:val="00B37D12"/>
    <w:rsid w:val="00B51802"/>
    <w:rsid w:val="00B519F1"/>
    <w:rsid w:val="00B52EA0"/>
    <w:rsid w:val="00B53BD0"/>
    <w:rsid w:val="00B53C2A"/>
    <w:rsid w:val="00B64861"/>
    <w:rsid w:val="00B82851"/>
    <w:rsid w:val="00B829DC"/>
    <w:rsid w:val="00B83857"/>
    <w:rsid w:val="00B9207F"/>
    <w:rsid w:val="00BA3A93"/>
    <w:rsid w:val="00BB3BA1"/>
    <w:rsid w:val="00BC3D2E"/>
    <w:rsid w:val="00BC7112"/>
    <w:rsid w:val="00BD1A53"/>
    <w:rsid w:val="00BE0A26"/>
    <w:rsid w:val="00BE675E"/>
    <w:rsid w:val="00BE72E2"/>
    <w:rsid w:val="00BF1C45"/>
    <w:rsid w:val="00C0360D"/>
    <w:rsid w:val="00C071E7"/>
    <w:rsid w:val="00C11F69"/>
    <w:rsid w:val="00C1431E"/>
    <w:rsid w:val="00C16636"/>
    <w:rsid w:val="00C36063"/>
    <w:rsid w:val="00C36F04"/>
    <w:rsid w:val="00C45A77"/>
    <w:rsid w:val="00C5117C"/>
    <w:rsid w:val="00C6587F"/>
    <w:rsid w:val="00C744CB"/>
    <w:rsid w:val="00C76FE3"/>
    <w:rsid w:val="00C7746A"/>
    <w:rsid w:val="00C775A3"/>
    <w:rsid w:val="00C81D4D"/>
    <w:rsid w:val="00C929BA"/>
    <w:rsid w:val="00CA0AEB"/>
    <w:rsid w:val="00CC39D5"/>
    <w:rsid w:val="00CC4B02"/>
    <w:rsid w:val="00CD2185"/>
    <w:rsid w:val="00CD30A8"/>
    <w:rsid w:val="00CF2107"/>
    <w:rsid w:val="00CF353B"/>
    <w:rsid w:val="00CF6901"/>
    <w:rsid w:val="00D01C5D"/>
    <w:rsid w:val="00D02D98"/>
    <w:rsid w:val="00D0403D"/>
    <w:rsid w:val="00D06565"/>
    <w:rsid w:val="00D13E94"/>
    <w:rsid w:val="00D234F7"/>
    <w:rsid w:val="00D31734"/>
    <w:rsid w:val="00D40143"/>
    <w:rsid w:val="00D4415B"/>
    <w:rsid w:val="00D44526"/>
    <w:rsid w:val="00D50A4B"/>
    <w:rsid w:val="00D50BB5"/>
    <w:rsid w:val="00D6706D"/>
    <w:rsid w:val="00D6708D"/>
    <w:rsid w:val="00D72AC8"/>
    <w:rsid w:val="00D84558"/>
    <w:rsid w:val="00D93B10"/>
    <w:rsid w:val="00D95549"/>
    <w:rsid w:val="00DA365F"/>
    <w:rsid w:val="00DA47AF"/>
    <w:rsid w:val="00DA48AD"/>
    <w:rsid w:val="00DB69EE"/>
    <w:rsid w:val="00DB7604"/>
    <w:rsid w:val="00DC0933"/>
    <w:rsid w:val="00DC28FE"/>
    <w:rsid w:val="00DC2DDD"/>
    <w:rsid w:val="00DD251C"/>
    <w:rsid w:val="00DE668C"/>
    <w:rsid w:val="00DE6CDF"/>
    <w:rsid w:val="00DF1CF4"/>
    <w:rsid w:val="00E026F7"/>
    <w:rsid w:val="00E05CAA"/>
    <w:rsid w:val="00E060C2"/>
    <w:rsid w:val="00E17D4B"/>
    <w:rsid w:val="00E2213D"/>
    <w:rsid w:val="00E24C61"/>
    <w:rsid w:val="00E3000B"/>
    <w:rsid w:val="00E34AEB"/>
    <w:rsid w:val="00E36837"/>
    <w:rsid w:val="00E41F22"/>
    <w:rsid w:val="00E42B54"/>
    <w:rsid w:val="00E52A75"/>
    <w:rsid w:val="00E54BBD"/>
    <w:rsid w:val="00E60C93"/>
    <w:rsid w:val="00E66397"/>
    <w:rsid w:val="00E666C4"/>
    <w:rsid w:val="00E67EAA"/>
    <w:rsid w:val="00E70929"/>
    <w:rsid w:val="00E75AEF"/>
    <w:rsid w:val="00E75F8A"/>
    <w:rsid w:val="00E80796"/>
    <w:rsid w:val="00E81347"/>
    <w:rsid w:val="00E9148E"/>
    <w:rsid w:val="00E96035"/>
    <w:rsid w:val="00E967F0"/>
    <w:rsid w:val="00EA4329"/>
    <w:rsid w:val="00EA5AA0"/>
    <w:rsid w:val="00EB3985"/>
    <w:rsid w:val="00EC49D6"/>
    <w:rsid w:val="00ED0BAB"/>
    <w:rsid w:val="00ED7065"/>
    <w:rsid w:val="00ED74F9"/>
    <w:rsid w:val="00EE0C36"/>
    <w:rsid w:val="00EE24D1"/>
    <w:rsid w:val="00EE3FD9"/>
    <w:rsid w:val="00EE7602"/>
    <w:rsid w:val="00EF408F"/>
    <w:rsid w:val="00EF43A8"/>
    <w:rsid w:val="00EF70D8"/>
    <w:rsid w:val="00EF7E4F"/>
    <w:rsid w:val="00F01B70"/>
    <w:rsid w:val="00F029D9"/>
    <w:rsid w:val="00F02AD1"/>
    <w:rsid w:val="00F04B79"/>
    <w:rsid w:val="00F10876"/>
    <w:rsid w:val="00F111A5"/>
    <w:rsid w:val="00F12271"/>
    <w:rsid w:val="00F12C9A"/>
    <w:rsid w:val="00F210E7"/>
    <w:rsid w:val="00F314BB"/>
    <w:rsid w:val="00F33BA0"/>
    <w:rsid w:val="00F36004"/>
    <w:rsid w:val="00F36E2D"/>
    <w:rsid w:val="00F42564"/>
    <w:rsid w:val="00F43AB8"/>
    <w:rsid w:val="00F5157C"/>
    <w:rsid w:val="00F55B38"/>
    <w:rsid w:val="00F57E57"/>
    <w:rsid w:val="00F60A23"/>
    <w:rsid w:val="00F640D4"/>
    <w:rsid w:val="00F64EE5"/>
    <w:rsid w:val="00F70E1D"/>
    <w:rsid w:val="00F70F45"/>
    <w:rsid w:val="00F7198D"/>
    <w:rsid w:val="00F733F3"/>
    <w:rsid w:val="00F741D6"/>
    <w:rsid w:val="00F746E3"/>
    <w:rsid w:val="00F7637B"/>
    <w:rsid w:val="00F764E2"/>
    <w:rsid w:val="00F811F1"/>
    <w:rsid w:val="00F851D3"/>
    <w:rsid w:val="00F945DB"/>
    <w:rsid w:val="00FA099A"/>
    <w:rsid w:val="00FA14A4"/>
    <w:rsid w:val="00FA52A5"/>
    <w:rsid w:val="00FB2AA3"/>
    <w:rsid w:val="00FC1D2B"/>
    <w:rsid w:val="00FC2CC0"/>
    <w:rsid w:val="00FD1F4A"/>
    <w:rsid w:val="00FE1001"/>
    <w:rsid w:val="00FE1E78"/>
    <w:rsid w:val="00FE7AAE"/>
    <w:rsid w:val="00FE7BCE"/>
    <w:rsid w:val="00FF0D56"/>
    <w:rsid w:val="00FF2697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B12351"/>
  <w15:docId w15:val="{F64F850C-0581-4E15-8354-6ED610A7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D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o-RO" w:eastAsia="zh-CN"/>
    </w:rPr>
  </w:style>
  <w:style w:type="paragraph" w:styleId="Titlu1">
    <w:name w:val="heading 1"/>
    <w:basedOn w:val="Normal"/>
    <w:next w:val="Normal"/>
    <w:qFormat/>
    <w:rsid w:val="00F02AD1"/>
    <w:pPr>
      <w:keepNext/>
      <w:tabs>
        <w:tab w:val="num" w:pos="0"/>
      </w:tabs>
      <w:spacing w:before="240" w:after="60" w:line="252" w:lineRule="auto"/>
      <w:outlineLvl w:val="0"/>
    </w:pPr>
    <w:rPr>
      <w:rFonts w:ascii="Calibri Light" w:eastAsia="Times New Roman" w:hAnsi="Calibri Light" w:cs="Calibri Light"/>
      <w:b/>
      <w:bCs/>
      <w:kern w:val="1"/>
      <w:sz w:val="32"/>
      <w:szCs w:val="32"/>
      <w:lang w:val="en-US"/>
    </w:rPr>
  </w:style>
  <w:style w:type="paragraph" w:styleId="Titlu2">
    <w:name w:val="heading 2"/>
    <w:basedOn w:val="Heading"/>
    <w:next w:val="Corptext"/>
    <w:qFormat/>
    <w:rsid w:val="00F02AD1"/>
    <w:pPr>
      <w:tabs>
        <w:tab w:val="num" w:pos="0"/>
      </w:tabs>
      <w:spacing w:before="200"/>
      <w:ind w:left="576" w:hanging="576"/>
      <w:outlineLvl w:val="1"/>
    </w:pPr>
    <w:rPr>
      <w:rFonts w:ascii="Liberation Serif" w:eastAsia="Noto Sans CJK SC Regular" w:hAnsi="Liberation Serif" w:cs="FreeSans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sid w:val="00F02AD1"/>
  </w:style>
  <w:style w:type="character" w:customStyle="1" w:styleId="WW8Num1z1">
    <w:name w:val="WW8Num1z1"/>
    <w:rsid w:val="00F02AD1"/>
  </w:style>
  <w:style w:type="character" w:customStyle="1" w:styleId="WW8Num1z2">
    <w:name w:val="WW8Num1z2"/>
    <w:rsid w:val="00F02AD1"/>
  </w:style>
  <w:style w:type="character" w:customStyle="1" w:styleId="WW8Num1z3">
    <w:name w:val="WW8Num1z3"/>
    <w:rsid w:val="00F02AD1"/>
  </w:style>
  <w:style w:type="character" w:customStyle="1" w:styleId="WW8Num1z4">
    <w:name w:val="WW8Num1z4"/>
    <w:rsid w:val="00F02AD1"/>
  </w:style>
  <w:style w:type="character" w:customStyle="1" w:styleId="WW8Num1z5">
    <w:name w:val="WW8Num1z5"/>
    <w:rsid w:val="00F02AD1"/>
  </w:style>
  <w:style w:type="character" w:customStyle="1" w:styleId="WW8Num1z6">
    <w:name w:val="WW8Num1z6"/>
    <w:rsid w:val="00F02AD1"/>
  </w:style>
  <w:style w:type="character" w:customStyle="1" w:styleId="WW8Num1z7">
    <w:name w:val="WW8Num1z7"/>
    <w:rsid w:val="00F02AD1"/>
  </w:style>
  <w:style w:type="character" w:customStyle="1" w:styleId="WW8Num1z8">
    <w:name w:val="WW8Num1z8"/>
    <w:rsid w:val="00F02AD1"/>
  </w:style>
  <w:style w:type="character" w:customStyle="1" w:styleId="WW8Num2z0">
    <w:name w:val="WW8Num2z0"/>
    <w:rsid w:val="00F02AD1"/>
    <w:rPr>
      <w:rFonts w:ascii="Symbol" w:hAnsi="Symbol" w:cs="OpenSymbol"/>
      <w:sz w:val="18"/>
      <w:szCs w:val="18"/>
    </w:rPr>
  </w:style>
  <w:style w:type="character" w:customStyle="1" w:styleId="WW8Num2z1">
    <w:name w:val="WW8Num2z1"/>
    <w:rsid w:val="00F02AD1"/>
    <w:rPr>
      <w:rFonts w:ascii="OpenSymbol" w:hAnsi="OpenSymbol" w:cs="OpenSymbol"/>
    </w:rPr>
  </w:style>
  <w:style w:type="character" w:customStyle="1" w:styleId="WW8Num3z0">
    <w:name w:val="WW8Num3z0"/>
    <w:rsid w:val="00F02AD1"/>
    <w:rPr>
      <w:rFonts w:ascii="Symbol" w:hAnsi="Symbol" w:cs="Symbol" w:hint="default"/>
    </w:rPr>
  </w:style>
  <w:style w:type="character" w:customStyle="1" w:styleId="WW8Num3z1">
    <w:name w:val="WW8Num3z1"/>
    <w:rsid w:val="00F02AD1"/>
    <w:rPr>
      <w:rFonts w:ascii="Courier New" w:hAnsi="Courier New" w:cs="Courier New" w:hint="default"/>
    </w:rPr>
  </w:style>
  <w:style w:type="character" w:customStyle="1" w:styleId="WW8Num3z2">
    <w:name w:val="WW8Num3z2"/>
    <w:rsid w:val="00F02AD1"/>
    <w:rPr>
      <w:rFonts w:ascii="Wingdings" w:hAnsi="Wingdings" w:cs="Wingdings" w:hint="default"/>
    </w:rPr>
  </w:style>
  <w:style w:type="character" w:customStyle="1" w:styleId="WW8Num4z0">
    <w:name w:val="WW8Num4z0"/>
    <w:rsid w:val="00F02AD1"/>
    <w:rPr>
      <w:rFonts w:ascii="Symbol" w:hAnsi="Symbol" w:cs="OpenSymbol"/>
      <w:sz w:val="18"/>
      <w:szCs w:val="18"/>
    </w:rPr>
  </w:style>
  <w:style w:type="character" w:customStyle="1" w:styleId="WW8Num4z1">
    <w:name w:val="WW8Num4z1"/>
    <w:rsid w:val="00F02AD1"/>
    <w:rPr>
      <w:rFonts w:ascii="OpenSymbol" w:hAnsi="OpenSymbol" w:cs="OpenSymbol"/>
    </w:rPr>
  </w:style>
  <w:style w:type="character" w:customStyle="1" w:styleId="WW8Num5z0">
    <w:name w:val="WW8Num5z0"/>
    <w:rsid w:val="00F02AD1"/>
    <w:rPr>
      <w:rFonts w:ascii="Symbol" w:hAnsi="Symbol" w:cs="OpenSymbol"/>
      <w:sz w:val="18"/>
      <w:szCs w:val="18"/>
    </w:rPr>
  </w:style>
  <w:style w:type="character" w:customStyle="1" w:styleId="WW8Num5z1">
    <w:name w:val="WW8Num5z1"/>
    <w:rsid w:val="00F02AD1"/>
    <w:rPr>
      <w:rFonts w:ascii="OpenSymbol" w:hAnsi="OpenSymbol" w:cs="OpenSymbol"/>
    </w:rPr>
  </w:style>
  <w:style w:type="character" w:customStyle="1" w:styleId="WW8Num6z0">
    <w:name w:val="WW8Num6z0"/>
    <w:rsid w:val="00F02AD1"/>
    <w:rPr>
      <w:rFonts w:ascii="Symbol" w:hAnsi="Symbol" w:cs="Symbol"/>
    </w:rPr>
  </w:style>
  <w:style w:type="character" w:customStyle="1" w:styleId="WW-DefaultParagraphFont">
    <w:name w:val="WW-Default Paragraph Font"/>
    <w:rsid w:val="00F02AD1"/>
  </w:style>
  <w:style w:type="character" w:customStyle="1" w:styleId="WW-DefaultParagraphFont1">
    <w:name w:val="WW-Default Paragraph Font1"/>
    <w:rsid w:val="00F02AD1"/>
  </w:style>
  <w:style w:type="character" w:customStyle="1" w:styleId="WW8Num6z1">
    <w:name w:val="WW8Num6z1"/>
    <w:rsid w:val="00F02AD1"/>
    <w:rPr>
      <w:rFonts w:ascii="OpenSymbol" w:hAnsi="OpenSymbol" w:cs="OpenSymbol"/>
    </w:rPr>
  </w:style>
  <w:style w:type="character" w:customStyle="1" w:styleId="WW8Num5z2">
    <w:name w:val="WW8Num5z2"/>
    <w:rsid w:val="00F02AD1"/>
    <w:rPr>
      <w:rFonts w:ascii="Wingdings" w:hAnsi="Wingdings" w:cs="Wingdings" w:hint="default"/>
    </w:rPr>
  </w:style>
  <w:style w:type="character" w:customStyle="1" w:styleId="WW8Num6z2">
    <w:name w:val="WW8Num6z2"/>
    <w:rsid w:val="00F02AD1"/>
    <w:rPr>
      <w:rFonts w:ascii="Wingdings" w:hAnsi="Wingdings" w:cs="Wingdings" w:hint="default"/>
    </w:rPr>
  </w:style>
  <w:style w:type="character" w:customStyle="1" w:styleId="WW8Num7z0">
    <w:name w:val="WW8Num7z0"/>
    <w:rsid w:val="00F02AD1"/>
    <w:rPr>
      <w:rFonts w:ascii="Symbol" w:hAnsi="Symbol" w:cs="Symbol" w:hint="default"/>
    </w:rPr>
  </w:style>
  <w:style w:type="character" w:customStyle="1" w:styleId="WW8Num7z1">
    <w:name w:val="WW8Num7z1"/>
    <w:rsid w:val="00F02AD1"/>
    <w:rPr>
      <w:rFonts w:ascii="Courier New" w:hAnsi="Courier New" w:cs="Courier New" w:hint="default"/>
    </w:rPr>
  </w:style>
  <w:style w:type="character" w:customStyle="1" w:styleId="WW8Num7z2">
    <w:name w:val="WW8Num7z2"/>
    <w:rsid w:val="00F02AD1"/>
    <w:rPr>
      <w:rFonts w:ascii="Wingdings" w:hAnsi="Wingdings" w:cs="Wingdings" w:hint="default"/>
    </w:rPr>
  </w:style>
  <w:style w:type="character" w:customStyle="1" w:styleId="WW8Num8z0">
    <w:name w:val="WW8Num8z0"/>
    <w:rsid w:val="00F02AD1"/>
    <w:rPr>
      <w:rFonts w:ascii="Symbol" w:hAnsi="Symbol" w:cs="Symbol" w:hint="default"/>
    </w:rPr>
  </w:style>
  <w:style w:type="character" w:customStyle="1" w:styleId="WW8Num8z1">
    <w:name w:val="WW8Num8z1"/>
    <w:rsid w:val="00F02AD1"/>
    <w:rPr>
      <w:rFonts w:ascii="Courier New" w:hAnsi="Courier New" w:cs="Courier New" w:hint="default"/>
    </w:rPr>
  </w:style>
  <w:style w:type="character" w:customStyle="1" w:styleId="WW8Num8z2">
    <w:name w:val="WW8Num8z2"/>
    <w:rsid w:val="00F02AD1"/>
    <w:rPr>
      <w:rFonts w:ascii="Wingdings" w:hAnsi="Wingdings" w:cs="Wingdings" w:hint="default"/>
    </w:rPr>
  </w:style>
  <w:style w:type="character" w:customStyle="1" w:styleId="WW8Num9z0">
    <w:name w:val="WW8Num9z0"/>
    <w:rsid w:val="00F02AD1"/>
    <w:rPr>
      <w:rFonts w:ascii="Symbol" w:hAnsi="Symbol" w:cs="Symbol" w:hint="default"/>
    </w:rPr>
  </w:style>
  <w:style w:type="character" w:customStyle="1" w:styleId="WW8Num9z1">
    <w:name w:val="WW8Num9z1"/>
    <w:rsid w:val="00F02AD1"/>
    <w:rPr>
      <w:rFonts w:ascii="Courier New" w:hAnsi="Courier New" w:cs="Courier New" w:hint="default"/>
    </w:rPr>
  </w:style>
  <w:style w:type="character" w:customStyle="1" w:styleId="WW8Num9z2">
    <w:name w:val="WW8Num9z2"/>
    <w:rsid w:val="00F02AD1"/>
    <w:rPr>
      <w:rFonts w:ascii="Wingdings" w:hAnsi="Wingdings" w:cs="Wingdings" w:hint="default"/>
    </w:rPr>
  </w:style>
  <w:style w:type="character" w:customStyle="1" w:styleId="WW8Num10z0">
    <w:name w:val="WW8Num10z0"/>
    <w:rsid w:val="00F02AD1"/>
    <w:rPr>
      <w:rFonts w:ascii="Symbol" w:hAnsi="Symbol" w:cs="Symbol" w:hint="default"/>
    </w:rPr>
  </w:style>
  <w:style w:type="character" w:customStyle="1" w:styleId="WW8Num10z1">
    <w:name w:val="WW8Num10z1"/>
    <w:rsid w:val="00F02AD1"/>
    <w:rPr>
      <w:rFonts w:ascii="Courier New" w:hAnsi="Courier New" w:cs="Courier New" w:hint="default"/>
    </w:rPr>
  </w:style>
  <w:style w:type="character" w:customStyle="1" w:styleId="WW8Num10z2">
    <w:name w:val="WW8Num10z2"/>
    <w:rsid w:val="00F02AD1"/>
    <w:rPr>
      <w:rFonts w:ascii="Wingdings" w:hAnsi="Wingdings" w:cs="Wingdings" w:hint="default"/>
    </w:rPr>
  </w:style>
  <w:style w:type="character" w:customStyle="1" w:styleId="WW8Num11z0">
    <w:name w:val="WW8Num11z0"/>
    <w:rsid w:val="00F02AD1"/>
    <w:rPr>
      <w:rFonts w:ascii="Symbol" w:hAnsi="Symbol" w:cs="Symbol" w:hint="default"/>
    </w:rPr>
  </w:style>
  <w:style w:type="character" w:customStyle="1" w:styleId="WW8Num11z1">
    <w:name w:val="WW8Num11z1"/>
    <w:rsid w:val="00F02AD1"/>
    <w:rPr>
      <w:rFonts w:ascii="Courier New" w:hAnsi="Courier New" w:cs="Courier New" w:hint="default"/>
    </w:rPr>
  </w:style>
  <w:style w:type="character" w:customStyle="1" w:styleId="WW8Num11z2">
    <w:name w:val="WW8Num11z2"/>
    <w:rsid w:val="00F02AD1"/>
    <w:rPr>
      <w:rFonts w:ascii="Wingdings" w:hAnsi="Wingdings" w:cs="Wingdings" w:hint="default"/>
    </w:rPr>
  </w:style>
  <w:style w:type="character" w:customStyle="1" w:styleId="WW-DefaultParagraphFont11">
    <w:name w:val="WW-Default Paragraph Font11"/>
    <w:rsid w:val="00F02AD1"/>
  </w:style>
  <w:style w:type="character" w:customStyle="1" w:styleId="WW8Num2z2">
    <w:name w:val="WW8Num2z2"/>
    <w:rsid w:val="00F02AD1"/>
    <w:rPr>
      <w:rFonts w:ascii="Wingdings" w:hAnsi="Wingdings" w:cs="Wingdings" w:hint="default"/>
    </w:rPr>
  </w:style>
  <w:style w:type="character" w:customStyle="1" w:styleId="WW8Num3z3">
    <w:name w:val="WW8Num3z3"/>
    <w:rsid w:val="00F02AD1"/>
  </w:style>
  <w:style w:type="character" w:customStyle="1" w:styleId="WW8Num3z4">
    <w:name w:val="WW8Num3z4"/>
    <w:rsid w:val="00F02AD1"/>
  </w:style>
  <w:style w:type="character" w:customStyle="1" w:styleId="WW8Num3z5">
    <w:name w:val="WW8Num3z5"/>
    <w:rsid w:val="00F02AD1"/>
  </w:style>
  <w:style w:type="character" w:customStyle="1" w:styleId="WW8Num3z6">
    <w:name w:val="WW8Num3z6"/>
    <w:rsid w:val="00F02AD1"/>
  </w:style>
  <w:style w:type="character" w:customStyle="1" w:styleId="WW8Num3z7">
    <w:name w:val="WW8Num3z7"/>
    <w:rsid w:val="00F02AD1"/>
  </w:style>
  <w:style w:type="character" w:customStyle="1" w:styleId="WW8Num3z8">
    <w:name w:val="WW8Num3z8"/>
    <w:rsid w:val="00F02AD1"/>
  </w:style>
  <w:style w:type="character" w:customStyle="1" w:styleId="WW8Num4z2">
    <w:name w:val="WW8Num4z2"/>
    <w:rsid w:val="00F02AD1"/>
    <w:rPr>
      <w:rFonts w:ascii="Wingdings" w:hAnsi="Wingdings" w:cs="Wingdings" w:hint="default"/>
    </w:rPr>
  </w:style>
  <w:style w:type="character" w:customStyle="1" w:styleId="WW8Num8z3">
    <w:name w:val="WW8Num8z3"/>
    <w:rsid w:val="00F02AD1"/>
  </w:style>
  <w:style w:type="character" w:customStyle="1" w:styleId="WW8Num8z4">
    <w:name w:val="WW8Num8z4"/>
    <w:rsid w:val="00F02AD1"/>
  </w:style>
  <w:style w:type="character" w:customStyle="1" w:styleId="WW8Num8z5">
    <w:name w:val="WW8Num8z5"/>
    <w:rsid w:val="00F02AD1"/>
  </w:style>
  <w:style w:type="character" w:customStyle="1" w:styleId="WW8Num8z6">
    <w:name w:val="WW8Num8z6"/>
    <w:rsid w:val="00F02AD1"/>
  </w:style>
  <w:style w:type="character" w:customStyle="1" w:styleId="WW8Num8z7">
    <w:name w:val="WW8Num8z7"/>
    <w:rsid w:val="00F02AD1"/>
  </w:style>
  <w:style w:type="character" w:customStyle="1" w:styleId="WW8Num8z8">
    <w:name w:val="WW8Num8z8"/>
    <w:rsid w:val="00F02AD1"/>
  </w:style>
  <w:style w:type="character" w:customStyle="1" w:styleId="WW8Num9z3">
    <w:name w:val="WW8Num9z3"/>
    <w:rsid w:val="00F02AD1"/>
    <w:rPr>
      <w:rFonts w:ascii="Symbol" w:hAnsi="Symbol" w:cs="Symbol" w:hint="default"/>
    </w:rPr>
  </w:style>
  <w:style w:type="character" w:customStyle="1" w:styleId="WW8Num10z3">
    <w:name w:val="WW8Num10z3"/>
    <w:rsid w:val="00F02AD1"/>
  </w:style>
  <w:style w:type="character" w:customStyle="1" w:styleId="WW8Num10z4">
    <w:name w:val="WW8Num10z4"/>
    <w:rsid w:val="00F02AD1"/>
  </w:style>
  <w:style w:type="character" w:customStyle="1" w:styleId="WW8Num10z5">
    <w:name w:val="WW8Num10z5"/>
    <w:rsid w:val="00F02AD1"/>
  </w:style>
  <w:style w:type="character" w:customStyle="1" w:styleId="WW8Num10z6">
    <w:name w:val="WW8Num10z6"/>
    <w:rsid w:val="00F02AD1"/>
  </w:style>
  <w:style w:type="character" w:customStyle="1" w:styleId="WW8Num10z7">
    <w:name w:val="WW8Num10z7"/>
    <w:rsid w:val="00F02AD1"/>
  </w:style>
  <w:style w:type="character" w:customStyle="1" w:styleId="WW8Num10z8">
    <w:name w:val="WW8Num10z8"/>
    <w:rsid w:val="00F02AD1"/>
  </w:style>
  <w:style w:type="character" w:customStyle="1" w:styleId="WW8Num12z0">
    <w:name w:val="WW8Num12z0"/>
    <w:rsid w:val="00F02AD1"/>
    <w:rPr>
      <w:rFonts w:ascii="Symbol" w:hAnsi="Symbol" w:cs="Symbol" w:hint="default"/>
    </w:rPr>
  </w:style>
  <w:style w:type="character" w:customStyle="1" w:styleId="WW8Num12z1">
    <w:name w:val="WW8Num12z1"/>
    <w:rsid w:val="00F02AD1"/>
    <w:rPr>
      <w:rFonts w:ascii="Courier New" w:hAnsi="Courier New" w:cs="Courier New" w:hint="default"/>
    </w:rPr>
  </w:style>
  <w:style w:type="character" w:customStyle="1" w:styleId="WW8Num12z2">
    <w:name w:val="WW8Num12z2"/>
    <w:rsid w:val="00F02AD1"/>
    <w:rPr>
      <w:rFonts w:ascii="Wingdings" w:hAnsi="Wingdings" w:cs="Wingdings" w:hint="default"/>
    </w:rPr>
  </w:style>
  <w:style w:type="character" w:customStyle="1" w:styleId="WW8Num13z0">
    <w:name w:val="WW8Num13z0"/>
    <w:rsid w:val="00F02AD1"/>
    <w:rPr>
      <w:rFonts w:ascii="Trebuchet MS" w:eastAsia="Times New Roman" w:hAnsi="Trebuchet MS" w:cs="Times New Roman" w:hint="default"/>
    </w:rPr>
  </w:style>
  <w:style w:type="character" w:customStyle="1" w:styleId="WW8Num13z1">
    <w:name w:val="WW8Num13z1"/>
    <w:rsid w:val="00F02AD1"/>
    <w:rPr>
      <w:rFonts w:ascii="Courier New" w:hAnsi="Courier New" w:cs="Courier New" w:hint="default"/>
    </w:rPr>
  </w:style>
  <w:style w:type="character" w:customStyle="1" w:styleId="WW8Num13z2">
    <w:name w:val="WW8Num13z2"/>
    <w:rsid w:val="00F02AD1"/>
    <w:rPr>
      <w:rFonts w:ascii="Wingdings" w:hAnsi="Wingdings" w:cs="Wingdings" w:hint="default"/>
    </w:rPr>
  </w:style>
  <w:style w:type="character" w:customStyle="1" w:styleId="WW8Num13z3">
    <w:name w:val="WW8Num13z3"/>
    <w:rsid w:val="00F02AD1"/>
    <w:rPr>
      <w:rFonts w:ascii="Symbol" w:hAnsi="Symbol" w:cs="Symbol" w:hint="default"/>
    </w:rPr>
  </w:style>
  <w:style w:type="character" w:customStyle="1" w:styleId="WW-DefaultParagraphFont111">
    <w:name w:val="WW-Default Paragraph Font111"/>
    <w:rsid w:val="00F02AD1"/>
  </w:style>
  <w:style w:type="character" w:customStyle="1" w:styleId="BalloonTextChar">
    <w:name w:val="Balloon Text Char"/>
    <w:rsid w:val="00F02AD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WW-DefaultParagraphFont111"/>
    <w:rsid w:val="00F02AD1"/>
  </w:style>
  <w:style w:type="character" w:customStyle="1" w:styleId="FooterChar">
    <w:name w:val="Footer Char"/>
    <w:basedOn w:val="WW-DefaultParagraphFont111"/>
    <w:rsid w:val="00F02AD1"/>
  </w:style>
  <w:style w:type="character" w:styleId="Hyperlink">
    <w:name w:val="Hyperlink"/>
    <w:rsid w:val="00F02AD1"/>
    <w:rPr>
      <w:color w:val="0000FF"/>
      <w:u w:val="single"/>
    </w:rPr>
  </w:style>
  <w:style w:type="character" w:customStyle="1" w:styleId="Heading1Char">
    <w:name w:val="Heading 1 Char"/>
    <w:rsid w:val="00F02AD1"/>
    <w:rPr>
      <w:rFonts w:ascii="Calibri Light" w:eastAsia="Times New Roman" w:hAnsi="Calibri Light" w:cs="Times New Roman"/>
      <w:b/>
      <w:bCs/>
      <w:kern w:val="1"/>
      <w:sz w:val="32"/>
      <w:szCs w:val="32"/>
      <w:lang w:val="en-US"/>
    </w:rPr>
  </w:style>
  <w:style w:type="character" w:styleId="HyperlinkParcurs">
    <w:name w:val="FollowedHyperlink"/>
    <w:rsid w:val="00F02AD1"/>
    <w:rPr>
      <w:color w:val="800080"/>
      <w:u w:val="single"/>
    </w:rPr>
  </w:style>
  <w:style w:type="character" w:customStyle="1" w:styleId="Bullets">
    <w:name w:val="Bullets"/>
    <w:rsid w:val="00F02AD1"/>
    <w:rPr>
      <w:rFonts w:ascii="OpenSymbol" w:eastAsia="OpenSymbol" w:hAnsi="OpenSymbol" w:cs="OpenSymbol"/>
    </w:rPr>
  </w:style>
  <w:style w:type="character" w:styleId="Robust">
    <w:name w:val="Strong"/>
    <w:uiPriority w:val="22"/>
    <w:qFormat/>
    <w:rsid w:val="00F02AD1"/>
    <w:rPr>
      <w:b/>
      <w:bCs/>
    </w:rPr>
  </w:style>
  <w:style w:type="paragraph" w:customStyle="1" w:styleId="Heading">
    <w:name w:val="Heading"/>
    <w:basedOn w:val="Normal"/>
    <w:next w:val="Corptext"/>
    <w:rsid w:val="00F02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text">
    <w:name w:val="Body Text"/>
    <w:basedOn w:val="Normal"/>
    <w:rsid w:val="00F02AD1"/>
    <w:pPr>
      <w:spacing w:after="140"/>
    </w:pPr>
  </w:style>
  <w:style w:type="paragraph" w:styleId="List">
    <w:name w:val="List"/>
    <w:basedOn w:val="Corptext"/>
    <w:rsid w:val="00F02AD1"/>
    <w:rPr>
      <w:rFonts w:cs="Lohit Devanagari"/>
    </w:rPr>
  </w:style>
  <w:style w:type="paragraph" w:styleId="Legend">
    <w:name w:val="caption"/>
    <w:basedOn w:val="Normal"/>
    <w:qFormat/>
    <w:rsid w:val="00F02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F02AD1"/>
    <w:pPr>
      <w:suppressLineNumbers/>
    </w:pPr>
    <w:rPr>
      <w:rFonts w:cs="Lohit Devanagari"/>
    </w:rPr>
  </w:style>
  <w:style w:type="paragraph" w:styleId="TextnBalon">
    <w:name w:val="Balloon Text"/>
    <w:basedOn w:val="Normal"/>
    <w:rsid w:val="00F02A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ntet">
    <w:name w:val="header"/>
    <w:basedOn w:val="Normal"/>
    <w:rsid w:val="00F02AD1"/>
    <w:pPr>
      <w:spacing w:after="0" w:line="240" w:lineRule="auto"/>
    </w:pPr>
  </w:style>
  <w:style w:type="paragraph" w:styleId="Subsol">
    <w:name w:val="footer"/>
    <w:basedOn w:val="Normal"/>
    <w:rsid w:val="00F02AD1"/>
    <w:pPr>
      <w:spacing w:after="0" w:line="240" w:lineRule="auto"/>
    </w:pPr>
  </w:style>
  <w:style w:type="paragraph" w:styleId="Listparagraf">
    <w:name w:val="List Paragraph"/>
    <w:basedOn w:val="Normal"/>
    <w:qFormat/>
    <w:rsid w:val="00F02AD1"/>
    <w:pPr>
      <w:ind w:left="720"/>
      <w:contextualSpacing/>
    </w:pPr>
  </w:style>
  <w:style w:type="paragraph" w:customStyle="1" w:styleId="TableContents">
    <w:name w:val="Table Contents"/>
    <w:basedOn w:val="Normal"/>
    <w:rsid w:val="00F02AD1"/>
    <w:pPr>
      <w:suppressLineNumbers/>
    </w:pPr>
  </w:style>
  <w:style w:type="paragraph" w:customStyle="1" w:styleId="TableHeading">
    <w:name w:val="Table Heading"/>
    <w:basedOn w:val="TableContents"/>
    <w:rsid w:val="00F02AD1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683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F42564"/>
    <w:pPr>
      <w:suppressAutoHyphens/>
    </w:pPr>
    <w:rPr>
      <w:rFonts w:ascii="Calibri" w:eastAsia="Calibri" w:hAnsi="Calibri" w:cs="Calibri"/>
      <w:sz w:val="22"/>
      <w:szCs w:val="22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35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uri-structurale.ro/finantari/1791/al-doilea-apel-pentru-proiecte-cu-valoare-mica-small-scale-projects" TargetMode="External"/><Relationship Id="rId13" Type="http://schemas.openxmlformats.org/officeDocument/2006/relationships/hyperlink" Target="https://www.fonduri-structurale.ro/finantari/1856/finantare-pentru-implementarea-eficienta-a-legislatiei-cheie-in-domeniul-energiei-durabile" TargetMode="External"/><Relationship Id="rId18" Type="http://schemas.openxmlformats.org/officeDocument/2006/relationships/hyperlink" Target="https://www.fonduri-structurale.ro/finantari/1885/dezvoltarea-si-modernizarea-retelelor-centralizate-de-incalzire-si-racire" TargetMode="External"/><Relationship Id="rId26" Type="http://schemas.openxmlformats.org/officeDocument/2006/relationships/hyperlink" Target="https://www.fonduri-structurale.ro/finantari/1228/investitii-in-infrastructura-publica-a-unitatilor-sanitare-care-trateaza-pacienti-critici-politraum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onduri-structurale.ro/finantari/1855/apel-pentru-proiecte-strategice-integrate-in-domeniul-mediulu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onduri-structurale.ro/finantari/537/sprijinirea-investitiilor-pentru-modernizarea-reabilitarea-retelei-inteligente-de-termoficare" TargetMode="External"/><Relationship Id="rId17" Type="http://schemas.openxmlformats.org/officeDocument/2006/relationships/hyperlink" Target="https://www.fonduri-structurale.ro/finantari/1891/combaterea-vulnerabilitatii-energetice-a-gospodariilor-din-europa" TargetMode="External"/><Relationship Id="rId25" Type="http://schemas.openxmlformats.org/officeDocument/2006/relationships/hyperlink" Target="https://www.fonduri-structurale.ro/finantari/1815/investitii-de-tip-dotare-in-infrastructura-unitatilor-sanitare-publice-care-trateaza-pacienti-cardiaci-critic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onduri-structurale.ro/finantari/1889/apel-pentru-proiecte-strategice-integrate-care-vizeaza-natura" TargetMode="External"/><Relationship Id="rId20" Type="http://schemas.openxmlformats.org/officeDocument/2006/relationships/hyperlink" Target="https://www.fonduri-structurale.ro/finantari/1882/apel-pentru-solutii-inovatoare-privind-imbunatatirea-integrarii-persoanelor-cu-dizabilitati-pe-piata-muncii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nduri-structurale.ro/finantari/1515/sprijinirea-copiilor-si-tinerilor-in-procesul-de-dezinstitutionalizare" TargetMode="External"/><Relationship Id="rId24" Type="http://schemas.openxmlformats.org/officeDocument/2006/relationships/hyperlink" Target="https://www.fonduri-structurale.ro/finantari/1880/programul-national-de-investitii-in-infrastructura-unitatilor-spitalicesti-relansar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onduri-structurale.ro/finantari/1852/sprijin-pentru-orase-in-dezvoltarea-planurilor-de-investitii-pentru-tranzitia-catre-energia-curata" TargetMode="External"/><Relationship Id="rId23" Type="http://schemas.openxmlformats.org/officeDocument/2006/relationships/hyperlink" Target="https://fonduri-structurale.ro/finantari/1805/sprijin-pentru-operatiunile-selectate-de-grupul-de-actiune-locala-pentru-mediul-rural-sau-pentru-orasele-si-municipiile-cu-o-populatie-mai-mica-de-20-000-de-locuitori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fonduri-structurale.ro/finantari/214/servicii-publice-destinate-cetatenilor-si-sau-firmelor-identificate-in-csp-gestionat-de-adr-si-sau-in-concordata-cu-politica-e-guv" TargetMode="External"/><Relationship Id="rId19" Type="http://schemas.openxmlformats.org/officeDocument/2006/relationships/hyperlink" Target="https://www.fonduri-structurale.ro/finantari/1884/servicii-integrate-pentru-sprijinirea-tranzitiei-energetice-in-cladir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onduri-structurale.ro/finantari/1494/apel-2025-finantare-privind-infratirea-intre-localitati" TargetMode="External"/><Relationship Id="rId14" Type="http://schemas.openxmlformats.org/officeDocument/2006/relationships/hyperlink" Target="https://www.fonduri-structurale.ro/finantari/1457/promovarea-energiei-din-surse-regenerabile-energie-geotermala-proiecte-noi" TargetMode="External"/><Relationship Id="rId22" Type="http://schemas.openxmlformats.org/officeDocument/2006/relationships/hyperlink" Target="https://www.fonduri-structurale.ro/finantari/1843/finantare-pentru-guvernanta-de-mediu-proiecte-de-actiune-standard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0C1E-B8A9-4016-B09F-D6124A2A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8526</Words>
  <Characters>49455</Characters>
  <Application>Microsoft Office Word</Application>
  <DocSecurity>0</DocSecurity>
  <Lines>412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57866</CharactersWithSpaces>
  <SharedDoc>false</SharedDoc>
  <HLinks>
    <vt:vector size="12" baseType="variant">
      <vt:variant>
        <vt:i4>1179679</vt:i4>
      </vt:variant>
      <vt:variant>
        <vt:i4>3</vt:i4>
      </vt:variant>
      <vt:variant>
        <vt:i4>0</vt:i4>
      </vt:variant>
      <vt:variant>
        <vt:i4>5</vt:i4>
      </vt:variant>
      <vt:variant>
        <vt:lpwstr>https://interreg-rohu.eu/wp-content/uploads/2023/06/Applicants_Guide_package.zip</vt:lpwstr>
      </vt:variant>
      <vt:variant>
        <vt:lpwstr/>
      </vt:variant>
      <vt:variant>
        <vt:i4>6684770</vt:i4>
      </vt:variant>
      <vt:variant>
        <vt:i4>0</vt:i4>
      </vt:variant>
      <vt:variant>
        <vt:i4>0</vt:i4>
      </vt:variant>
      <vt:variant>
        <vt:i4>5</vt:i4>
      </vt:variant>
      <vt:variant>
        <vt:lpwstr>https://jems-rohu.mdlpa.ro/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gm thinkbook</cp:lastModifiedBy>
  <cp:revision>3</cp:revision>
  <cp:lastPrinted>2024-12-30T06:14:00Z</cp:lastPrinted>
  <dcterms:created xsi:type="dcterms:W3CDTF">2025-07-02T07:02:00Z</dcterms:created>
  <dcterms:modified xsi:type="dcterms:W3CDTF">2025-07-07T05:31:00Z</dcterms:modified>
</cp:coreProperties>
</file>